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宋体" w:hAnsi="宋体" w:eastAsia="宋体" w:cs="宋体"/>
          <w:bCs w:val="0"/>
          <w:color w:val="000000" w:themeColor="text1"/>
          <w:sz w:val="32"/>
          <w:szCs w:val="32"/>
          <w:highlight w:val="none"/>
          <w14:textFill>
            <w14:solidFill>
              <w14:schemeClr w14:val="tx1"/>
            </w14:solidFill>
          </w14:textFill>
        </w:rPr>
      </w:pPr>
      <w:bookmarkStart w:id="0" w:name="_Toc13460"/>
      <w:bookmarkStart w:id="1" w:name="_Toc15167"/>
      <w:bookmarkStart w:id="2" w:name="_Toc8416"/>
      <w:bookmarkStart w:id="3" w:name="_Toc18343"/>
      <w:bookmarkStart w:id="4" w:name="_Toc68512826"/>
      <w:r>
        <w:rPr>
          <w:rFonts w:hint="eastAsia" w:ascii="宋体" w:hAnsi="宋体" w:eastAsia="宋体" w:cs="宋体"/>
          <w:bCs w:val="0"/>
          <w:color w:val="000000" w:themeColor="text1"/>
          <w:sz w:val="32"/>
          <w:szCs w:val="32"/>
          <w:highlight w:val="none"/>
          <w14:textFill>
            <w14:solidFill>
              <w14:schemeClr w14:val="tx1"/>
            </w14:solidFill>
          </w14:textFill>
        </w:rPr>
        <w:t>塑料加工业“十四五”发展规划指导意见</w:t>
      </w:r>
      <w:bookmarkEnd w:id="0"/>
      <w:bookmarkEnd w:id="1"/>
      <w:bookmarkEnd w:id="2"/>
      <w:bookmarkEnd w:id="3"/>
      <w:bookmarkEnd w:id="4"/>
    </w:p>
    <w:p>
      <w:pPr>
        <w:adjustRightInd w:val="0"/>
        <w:snapToGrid w:val="0"/>
        <w:jc w:val="center"/>
        <w:rPr>
          <w:rFonts w:hint="eastAsia" w:ascii="宋体" w:hAnsi="宋体" w:eastAsia="宋体" w:cs="宋体"/>
          <w:b/>
          <w:color w:val="000000" w:themeColor="text1"/>
          <w:sz w:val="21"/>
          <w:szCs w:val="21"/>
          <w:highlight w:val="none"/>
          <w14:textFill>
            <w14:solidFill>
              <w14:schemeClr w14:val="tx1"/>
            </w14:solidFill>
          </w14:textFill>
        </w:rPr>
      </w:pPr>
    </w:p>
    <w:p>
      <w:pPr>
        <w:adjustRightInd w:val="0"/>
        <w:snapToGrid w:val="0"/>
        <w:jc w:val="center"/>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中国塑料加工工业协会</w:t>
      </w:r>
    </w:p>
    <w:p>
      <w:pPr>
        <w:pStyle w:val="2"/>
        <w:ind w:left="0" w:leftChars="0" w:firstLine="0" w:firstLineChars="0"/>
        <w:jc w:val="center"/>
        <w:rPr>
          <w:rFonts w:hint="default" w:eastAsia="宋体"/>
          <w:lang w:val="en-US" w:eastAsia="zh-CN"/>
        </w:rPr>
      </w:pPr>
      <w:r>
        <w:rPr>
          <w:rFonts w:hint="eastAsia" w:ascii="宋体" w:hAnsi="宋体" w:cs="宋体"/>
          <w:color w:val="000000" w:themeColor="text1"/>
          <w:sz w:val="21"/>
          <w:szCs w:val="21"/>
          <w:highlight w:val="none"/>
          <w:lang w:val="en-US" w:eastAsia="zh-CN"/>
          <w14:textFill>
            <w14:solidFill>
              <w14:schemeClr w14:val="tx1"/>
            </w14:solidFill>
          </w14:textFill>
        </w:rPr>
        <w:t>2021年6月</w:t>
      </w:r>
    </w:p>
    <w:p>
      <w:pPr>
        <w:pStyle w:val="3"/>
        <w:jc w:val="both"/>
        <w:rPr>
          <w:rFonts w:hint="eastAsia" w:ascii="宋体" w:hAnsi="宋体" w:eastAsia="宋体" w:cs="宋体"/>
          <w:color w:val="000000" w:themeColor="text1"/>
          <w:sz w:val="21"/>
          <w:szCs w:val="21"/>
          <w:highlight w:val="none"/>
          <w14:textFill>
            <w14:solidFill>
              <w14:schemeClr w14:val="tx1"/>
            </w14:solidFill>
          </w14:textFill>
        </w:rPr>
      </w:pPr>
      <w:bookmarkStart w:id="5" w:name="_Toc4174"/>
      <w:bookmarkStart w:id="6" w:name="_Toc11614"/>
      <w:bookmarkStart w:id="7" w:name="_Toc1601"/>
      <w:bookmarkStart w:id="8" w:name="_Toc10747"/>
      <w:bookmarkStart w:id="9" w:name="_Toc10316"/>
      <w:bookmarkStart w:id="10" w:name="_Toc3351"/>
      <w:bookmarkStart w:id="11" w:name="_Toc16572"/>
      <w:bookmarkStart w:id="12" w:name="_Toc4233"/>
      <w:bookmarkStart w:id="13" w:name="_Toc3428"/>
    </w:p>
    <w:p>
      <w:pPr>
        <w:pStyle w:val="3"/>
        <w:rPr>
          <w:rFonts w:hint="eastAsia" w:ascii="宋体" w:hAnsi="宋体" w:eastAsia="宋体" w:cs="宋体"/>
          <w:b w:val="0"/>
          <w:bCs w:val="0"/>
          <w:color w:val="000000" w:themeColor="text1"/>
          <w:sz w:val="21"/>
          <w:szCs w:val="21"/>
          <w:highlight w:val="none"/>
          <w14:textFill>
            <w14:solidFill>
              <w14:schemeClr w14:val="tx1"/>
            </w14:solidFill>
          </w14:textFill>
        </w:rPr>
      </w:pPr>
      <w:bookmarkStart w:id="14" w:name="_Toc8507"/>
      <w:bookmarkStart w:id="15" w:name="_Toc12900"/>
      <w:bookmarkStart w:id="16" w:name="_Toc68512827"/>
      <w:bookmarkStart w:id="17" w:name="_Toc2300"/>
      <w:bookmarkStart w:id="18" w:name="_Toc7150"/>
      <w:r>
        <w:rPr>
          <w:rFonts w:hint="eastAsia" w:ascii="宋体" w:hAnsi="宋体" w:eastAsia="宋体" w:cs="宋体"/>
          <w:b w:val="0"/>
          <w:bCs w:val="0"/>
          <w:color w:val="000000" w:themeColor="text1"/>
          <w:sz w:val="21"/>
          <w:szCs w:val="21"/>
          <w:highlight w:val="none"/>
          <w14:textFill>
            <w14:solidFill>
              <w14:schemeClr w14:val="tx1"/>
            </w14:solidFill>
          </w14:textFill>
        </w:rPr>
        <w:t>前言</w:t>
      </w:r>
      <w:bookmarkEnd w:id="5"/>
      <w:bookmarkEnd w:id="6"/>
      <w:bookmarkEnd w:id="7"/>
      <w:bookmarkEnd w:id="8"/>
      <w:bookmarkEnd w:id="9"/>
      <w:bookmarkEnd w:id="10"/>
      <w:bookmarkEnd w:id="11"/>
      <w:bookmarkEnd w:id="12"/>
      <w:bookmarkEnd w:id="13"/>
      <w:bookmarkEnd w:id="14"/>
      <w:bookmarkEnd w:id="15"/>
      <w:bookmarkEnd w:id="16"/>
      <w:bookmarkEnd w:id="17"/>
      <w:bookmarkEnd w:id="18"/>
    </w:p>
    <w:p>
      <w:pPr>
        <w:pStyle w:val="2"/>
        <w:ind w:left="0" w:leftChars="0"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塑料加工业是以塑料加工成型为核心，集合成树脂、助剂、改性塑料、再生塑料、塑料机械与模具、智能系统等产业为一体的新兴制造业，是高端高分子新材料产业的重要组成部分，既是我国现代工业体系中的先进制造产业，也是民生产业。</w:t>
      </w:r>
    </w:p>
    <w:p>
      <w:pPr>
        <w:pStyle w:val="2"/>
        <w:ind w:left="0" w:leftChars="0"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我国塑料工业起步于建国之初，发展于改革开放，目前已建成门类齐全、独立完整的制造业体系，在国民经济中占有重要地位。我国已是塑料制品生产、消费和出口大国。</w:t>
      </w:r>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“十四五”</w:t>
      </w:r>
      <w:bookmarkStart w:id="19" w:name="baidusnap1"/>
      <w:bookmarkEnd w:id="19"/>
      <w:r>
        <w:rPr>
          <w:rFonts w:hint="eastAsia" w:ascii="宋体" w:hAnsi="宋体" w:eastAsia="宋体" w:cs="宋体"/>
          <w:color w:val="000000" w:themeColor="text1"/>
          <w:sz w:val="21"/>
          <w:szCs w:val="21"/>
          <w:highlight w:val="none"/>
          <w14:textFill>
            <w14:solidFill>
              <w14:schemeClr w14:val="tx1"/>
            </w14:solidFill>
          </w14:textFill>
        </w:rPr>
        <w:t>是我国全面建成小康社会实现第一个百年奋斗目标之后，向第二个百年奋斗目标进军</w:t>
      </w:r>
      <w:bookmarkStart w:id="20" w:name="baidusnap4"/>
      <w:bookmarkEnd w:id="20"/>
      <w:r>
        <w:rPr>
          <w:rFonts w:hint="eastAsia" w:ascii="宋体" w:hAnsi="宋体" w:eastAsia="宋体" w:cs="宋体"/>
          <w:color w:val="000000" w:themeColor="text1"/>
          <w:sz w:val="21"/>
          <w:szCs w:val="21"/>
          <w:highlight w:val="none"/>
          <w14:textFill>
            <w14:solidFill>
              <w14:schemeClr w14:val="tx1"/>
            </w14:solidFill>
          </w14:textFill>
        </w:rPr>
        <w:t>的第一个五年。在这个新发展阶段塑料加工业将深入贯彻落实新发展理念，坚持创新驱动不动摇，继续深化供给侧结构性改革，促进产业结构趋向合理，以更高水平参与服务国内、国际双循环，努力赶超国际先进水平，加快由大变强步伐，引领推动中国塑料加工业在高质量发展道路上行稳致远。</w:t>
      </w:r>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《中国塑料加工业“十四五”发展规划指导意见》（规划期为2021-2025年），作为未来五年我国塑料加工业发展的指导性文件和实现塑料制造强国目标的行动纲领。</w:t>
      </w:r>
      <w:bookmarkStart w:id="21" w:name="_Toc14695"/>
      <w:bookmarkStart w:id="22" w:name="_Toc14928"/>
      <w:bookmarkStart w:id="23" w:name="_Toc6512"/>
      <w:bookmarkStart w:id="24" w:name="_Toc24396"/>
      <w:bookmarkStart w:id="25" w:name="_Toc26153"/>
      <w:bookmarkStart w:id="26" w:name="_Toc30748"/>
      <w:bookmarkStart w:id="27" w:name="_Toc13954"/>
      <w:bookmarkStart w:id="28" w:name="_Toc68512828"/>
      <w:bookmarkStart w:id="29" w:name="_Toc3058"/>
      <w:bookmarkStart w:id="30" w:name="_Toc31452"/>
    </w:p>
    <w:p>
      <w:pPr>
        <w:pStyle w:val="3"/>
        <w:ind w:firstLine="420" w:firstLineChars="200"/>
        <w:rPr>
          <w:rFonts w:hint="eastAsia" w:ascii="宋体" w:hAnsi="宋体" w:eastAsia="宋体" w:cs="宋体"/>
          <w:b w:val="0"/>
          <w:bCs w:val="0"/>
          <w:color w:val="000000" w:themeColor="text1"/>
          <w:sz w:val="21"/>
          <w:szCs w:val="21"/>
          <w:highlight w:val="none"/>
          <w14:textFill>
            <w14:solidFill>
              <w14:schemeClr w14:val="tx1"/>
            </w14:solidFill>
          </w14:textFill>
        </w:rPr>
      </w:pPr>
      <w:bookmarkStart w:id="31" w:name="_Toc9983"/>
      <w:bookmarkStart w:id="32" w:name="_Toc30588"/>
      <w:bookmarkStart w:id="33" w:name="_Toc27234"/>
    </w:p>
    <w:p>
      <w:pPr>
        <w:pStyle w:val="3"/>
        <w:ind w:firstLine="420" w:firstLineChars="200"/>
        <w:rPr>
          <w:rFonts w:hint="eastAsia" w:ascii="宋体" w:hAnsi="宋体" w:eastAsia="宋体" w:cs="宋体"/>
          <w:b w:val="0"/>
          <w:bCs w:val="0"/>
          <w:color w:val="000000" w:themeColor="text1"/>
          <w:sz w:val="21"/>
          <w:szCs w:val="21"/>
          <w:highlight w:val="none"/>
          <w14:textFill>
            <w14:solidFill>
              <w14:schemeClr w14:val="tx1"/>
            </w14:solidFill>
          </w14:textFill>
        </w:rPr>
      </w:pPr>
      <w:bookmarkStart w:id="34" w:name="_Toc29468"/>
      <w:r>
        <w:rPr>
          <w:rFonts w:hint="eastAsia" w:ascii="宋体" w:hAnsi="宋体" w:eastAsia="宋体" w:cs="宋体"/>
          <w:b w:val="0"/>
          <w:bCs w:val="0"/>
          <w:color w:val="000000" w:themeColor="text1"/>
          <w:sz w:val="21"/>
          <w:szCs w:val="21"/>
          <w:highlight w:val="none"/>
          <w14:textFill>
            <w14:solidFill>
              <w14:schemeClr w14:val="tx1"/>
            </w14:solidFill>
          </w14:textFill>
        </w:rPr>
        <w:t>一、塑料加工业“十三五”取得的主要成绩与存在的主要问题</w:t>
      </w:r>
      <w:bookmarkEnd w:id="21"/>
      <w:bookmarkEnd w:id="22"/>
      <w:bookmarkEnd w:id="23"/>
      <w:bookmarkEnd w:id="24"/>
      <w:bookmarkEnd w:id="25"/>
      <w:bookmarkEnd w:id="26"/>
      <w:bookmarkEnd w:id="27"/>
      <w:bookmarkEnd w:id="28"/>
      <w:bookmarkEnd w:id="29"/>
      <w:bookmarkEnd w:id="30"/>
      <w:bookmarkEnd w:id="31"/>
      <w:bookmarkEnd w:id="32"/>
      <w:bookmarkEnd w:id="33"/>
      <w:bookmarkEnd w:id="34"/>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十三五”是塑料加工业从结构调整转型升级向高质量发展阶段迈进的重要时期，科技创新持续推进行业发展能力增强，应用领域进一步拓展，经济效益稳步提升，“三化一微”+智能化技术发展方向持续深化，科技创新持续推进，新业态新模式共存，大数据信息化积极推进。</w:t>
      </w:r>
    </w:p>
    <w:p>
      <w:pPr>
        <w:pStyle w:val="4"/>
        <w:rPr>
          <w:rFonts w:hint="eastAsia" w:ascii="宋体" w:hAnsi="宋体" w:eastAsia="宋体" w:cs="宋体"/>
          <w:color w:val="000000" w:themeColor="text1"/>
          <w:sz w:val="21"/>
          <w:szCs w:val="21"/>
          <w:highlight w:val="none"/>
          <w14:textFill>
            <w14:solidFill>
              <w14:schemeClr w14:val="tx1"/>
            </w14:solidFill>
          </w14:textFill>
        </w:rPr>
      </w:pPr>
      <w:bookmarkStart w:id="35" w:name="_Toc28602"/>
      <w:bookmarkStart w:id="36" w:name="_Toc13117"/>
      <w:bookmarkStart w:id="37" w:name="_Toc11053"/>
      <w:bookmarkStart w:id="38" w:name="_Toc68512829"/>
      <w:bookmarkStart w:id="39" w:name="_Toc26667"/>
      <w:bookmarkStart w:id="40" w:name="_Toc8766"/>
      <w:bookmarkStart w:id="41" w:name="_Toc30414"/>
      <w:bookmarkStart w:id="42" w:name="_Toc18613"/>
      <w:bookmarkStart w:id="43" w:name="_Toc17120"/>
      <w:bookmarkStart w:id="44" w:name="_Toc22895"/>
      <w:r>
        <w:rPr>
          <w:rFonts w:hint="eastAsia" w:ascii="宋体" w:hAnsi="宋体" w:eastAsia="宋体" w:cs="宋体"/>
          <w:color w:val="000000" w:themeColor="text1"/>
          <w:sz w:val="21"/>
          <w:szCs w:val="21"/>
          <w:highlight w:val="none"/>
          <w14:textFill>
            <w14:solidFill>
              <w14:schemeClr w14:val="tx1"/>
            </w14:solidFill>
          </w14:textFill>
        </w:rPr>
        <w:t>（一）取得的主要成绩</w:t>
      </w:r>
      <w:bookmarkEnd w:id="35"/>
      <w:bookmarkEnd w:id="36"/>
      <w:bookmarkEnd w:id="37"/>
      <w:bookmarkEnd w:id="38"/>
      <w:bookmarkEnd w:id="39"/>
      <w:bookmarkEnd w:id="40"/>
      <w:bookmarkEnd w:id="41"/>
      <w:bookmarkEnd w:id="42"/>
      <w:bookmarkEnd w:id="43"/>
      <w:bookmarkEnd w:id="44"/>
    </w:p>
    <w:p>
      <w:pPr>
        <w:pStyle w:val="5"/>
        <w:ind w:firstLine="643"/>
        <w:rPr>
          <w:rFonts w:hint="eastAsia" w:ascii="宋体" w:hAnsi="宋体" w:eastAsia="宋体" w:cs="宋体"/>
          <w:b/>
          <w:bCs/>
          <w:color w:val="000000" w:themeColor="text1"/>
          <w:sz w:val="21"/>
          <w:szCs w:val="21"/>
          <w:highlight w:val="none"/>
          <w14:textFill>
            <w14:solidFill>
              <w14:schemeClr w14:val="tx1"/>
            </w14:solidFill>
          </w14:textFill>
        </w:rPr>
      </w:pPr>
      <w:bookmarkStart w:id="45" w:name="_Toc17723"/>
      <w:bookmarkStart w:id="46" w:name="_Toc32588"/>
      <w:bookmarkStart w:id="47" w:name="_Toc17496"/>
      <w:bookmarkStart w:id="48" w:name="_Toc19909"/>
      <w:bookmarkStart w:id="49" w:name="_Toc2896"/>
      <w:bookmarkStart w:id="50" w:name="_Toc68512830"/>
      <w:bookmarkStart w:id="51" w:name="_Toc30634"/>
      <w:bookmarkStart w:id="52" w:name="_Toc202"/>
      <w:bookmarkStart w:id="53" w:name="_Toc20317"/>
      <w:bookmarkStart w:id="54" w:name="_Toc30118"/>
      <w:bookmarkStart w:id="55" w:name="_Toc25187"/>
      <w:bookmarkStart w:id="56" w:name="_Toc30534"/>
      <w:bookmarkStart w:id="57" w:name="_Toc7235"/>
      <w:bookmarkStart w:id="58" w:name="_Toc10572"/>
      <w:r>
        <w:rPr>
          <w:rFonts w:hint="eastAsia" w:ascii="宋体" w:hAnsi="宋体" w:eastAsia="宋体" w:cs="宋体"/>
          <w:b/>
          <w:bCs/>
          <w:color w:val="000000" w:themeColor="text1"/>
          <w:sz w:val="21"/>
          <w:szCs w:val="21"/>
          <w:highlight w:val="none"/>
          <w14:textFill>
            <w14:solidFill>
              <w14:schemeClr w14:val="tx1"/>
            </w14:solidFill>
          </w14:textFill>
        </w:rPr>
        <w:t>1、</w:t>
      </w:r>
      <w:bookmarkEnd w:id="45"/>
      <w:bookmarkEnd w:id="46"/>
      <w:bookmarkEnd w:id="47"/>
      <w:bookmarkEnd w:id="48"/>
      <w:r>
        <w:rPr>
          <w:rFonts w:hint="eastAsia" w:ascii="宋体" w:hAnsi="宋体" w:eastAsia="宋体" w:cs="宋体"/>
          <w:b/>
          <w:bCs/>
          <w:color w:val="000000" w:themeColor="text1"/>
          <w:sz w:val="21"/>
          <w:szCs w:val="21"/>
          <w:highlight w:val="none"/>
          <w14:textFill>
            <w14:solidFill>
              <w14:schemeClr w14:val="tx1"/>
            </w14:solidFill>
          </w14:textFill>
        </w:rPr>
        <w:t>行业能力进一步加强</w:t>
      </w:r>
      <w:bookmarkEnd w:id="49"/>
      <w:bookmarkEnd w:id="50"/>
      <w:bookmarkEnd w:id="51"/>
      <w:bookmarkEnd w:id="52"/>
      <w:bookmarkEnd w:id="53"/>
      <w:bookmarkEnd w:id="54"/>
      <w:bookmarkEnd w:id="55"/>
      <w:bookmarkEnd w:id="56"/>
      <w:bookmarkEnd w:id="57"/>
      <w:bookmarkEnd w:id="58"/>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据国家统计局数据，2020年我国塑料加工业汇总统计企业累计完成产量7603.22万吨，规模以上企业营业收入18890.13亿元，利润总额1215.15亿元。“十三五”期间，塑料制品产量、营业收入、利润总额增长，规模以上企业数量逐年增加，行业规模进一步扩大。我国塑料生产、消费、出口世界第一大国的地位进一步巩固。</w:t>
      </w:r>
    </w:p>
    <w:p>
      <w:pPr>
        <w:jc w:val="center"/>
        <w:rPr>
          <w:rFonts w:hint="eastAsia" w:ascii="宋体" w:hAnsi="宋体" w:eastAsia="宋体" w:cs="宋体"/>
          <w:b/>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表1  塑料制品产量、营业收入、利润总额同比增长率情况</w:t>
      </w:r>
      <w:bookmarkStart w:id="657" w:name="_GoBack"/>
      <w:bookmarkEnd w:id="657"/>
    </w:p>
    <w:tbl>
      <w:tblPr>
        <w:tblStyle w:val="16"/>
        <w:tblW w:w="80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85"/>
        <w:gridCol w:w="1058"/>
        <w:gridCol w:w="1162"/>
        <w:gridCol w:w="1163"/>
        <w:gridCol w:w="1163"/>
        <w:gridCol w:w="11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385" w:type="dxa"/>
            <w:tcBorders>
              <w:tl2br w:val="single" w:color="auto" w:sz="4" w:space="0"/>
            </w:tcBorders>
            <w:vAlign w:val="center"/>
          </w:tcPr>
          <w:p>
            <w:pPr>
              <w:ind w:firstLine="1050" w:firstLineChars="500"/>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时间</w:t>
            </w:r>
          </w:p>
          <w:p>
            <w:pPr>
              <w:ind w:firstLine="210" w:firstLineChars="100"/>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指标</w:t>
            </w:r>
          </w:p>
        </w:tc>
        <w:tc>
          <w:tcPr>
            <w:tcW w:w="1058"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2016年</w:t>
            </w:r>
          </w:p>
        </w:tc>
        <w:tc>
          <w:tcPr>
            <w:tcW w:w="1162"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2017年</w:t>
            </w:r>
          </w:p>
        </w:tc>
        <w:tc>
          <w:tcPr>
            <w:tcW w:w="1163"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2018年</w:t>
            </w:r>
          </w:p>
        </w:tc>
        <w:tc>
          <w:tcPr>
            <w:tcW w:w="1163"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2019年</w:t>
            </w:r>
          </w:p>
        </w:tc>
        <w:tc>
          <w:tcPr>
            <w:tcW w:w="1147"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2020年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exact"/>
          <w:jc w:val="center"/>
        </w:trPr>
        <w:tc>
          <w:tcPr>
            <w:tcW w:w="2385"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产量增长率（%）</w:t>
            </w:r>
          </w:p>
        </w:tc>
        <w:tc>
          <w:tcPr>
            <w:tcW w:w="1058" w:type="dxa"/>
            <w:vAlign w:val="center"/>
          </w:tcPr>
          <w:p>
            <w:pPr>
              <w:widowControl/>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bidi="ar"/>
                <w14:textFill>
                  <w14:solidFill>
                    <w14:schemeClr w14:val="tx1"/>
                  </w14:solidFill>
                </w14:textFill>
              </w:rPr>
              <w:t>2.66</w:t>
            </w:r>
          </w:p>
        </w:tc>
        <w:tc>
          <w:tcPr>
            <w:tcW w:w="1162" w:type="dxa"/>
            <w:vAlign w:val="center"/>
          </w:tcPr>
          <w:p>
            <w:pPr>
              <w:widowControl/>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bidi="ar"/>
                <w14:textFill>
                  <w14:solidFill>
                    <w14:schemeClr w14:val="tx1"/>
                  </w14:solidFill>
                </w14:textFill>
              </w:rPr>
              <w:t>3.44</w:t>
            </w:r>
          </w:p>
        </w:tc>
        <w:tc>
          <w:tcPr>
            <w:tcW w:w="1163" w:type="dxa"/>
            <w:vAlign w:val="center"/>
          </w:tcPr>
          <w:p>
            <w:pPr>
              <w:widowControl/>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bidi="ar"/>
                <w14:textFill>
                  <w14:solidFill>
                    <w14:schemeClr w14:val="tx1"/>
                  </w14:solidFill>
                </w14:textFill>
              </w:rPr>
              <w:t>1.1</w:t>
            </w:r>
          </w:p>
        </w:tc>
        <w:tc>
          <w:tcPr>
            <w:tcW w:w="1163"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14:textFill>
                  <w14:solidFill>
                    <w14:schemeClr w14:val="tx1"/>
                  </w14:solidFill>
                </w14:textFill>
              </w:rPr>
              <w:t>3.91</w:t>
            </w:r>
          </w:p>
        </w:tc>
        <w:tc>
          <w:tcPr>
            <w:tcW w:w="1147" w:type="dxa"/>
            <w:vAlign w:val="center"/>
          </w:tcPr>
          <w:p>
            <w:pPr>
              <w:pStyle w:val="14"/>
              <w:spacing w:before="0" w:beforeAutospacing="0" w:after="0" w:afterAutospacing="0"/>
              <w:jc w:val="both"/>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 xml:space="preserve">-6.45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exact"/>
          <w:jc w:val="center"/>
        </w:trPr>
        <w:tc>
          <w:tcPr>
            <w:tcW w:w="2385"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营业收入率长率（%）</w:t>
            </w:r>
          </w:p>
        </w:tc>
        <w:tc>
          <w:tcPr>
            <w:tcW w:w="1058" w:type="dxa"/>
            <w:vAlign w:val="center"/>
          </w:tcPr>
          <w:p>
            <w:pPr>
              <w:rPr>
                <w:rFonts w:hint="eastAsia" w:ascii="宋体" w:hAnsi="宋体" w:eastAsia="宋体" w:cs="宋体"/>
                <w:bCs/>
                <w:color w:val="000000" w:themeColor="text1"/>
                <w:kern w:val="0"/>
                <w:sz w:val="21"/>
                <w:szCs w:val="21"/>
                <w:highlight w:val="none"/>
                <w:lang w:bidi="ar"/>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6.2</w:t>
            </w:r>
          </w:p>
        </w:tc>
        <w:tc>
          <w:tcPr>
            <w:tcW w:w="1162" w:type="dxa"/>
            <w:vAlign w:val="center"/>
          </w:tcPr>
          <w:p>
            <w:pPr>
              <w:rPr>
                <w:rFonts w:hint="eastAsia" w:ascii="宋体" w:hAnsi="宋体" w:eastAsia="宋体" w:cs="宋体"/>
                <w:bCs/>
                <w:color w:val="000000" w:themeColor="text1"/>
                <w:kern w:val="0"/>
                <w:sz w:val="21"/>
                <w:szCs w:val="21"/>
                <w:highlight w:val="none"/>
                <w:lang w:bidi="ar"/>
                <w14:textFill>
                  <w14:solidFill>
                    <w14:schemeClr w14:val="tx1"/>
                  </w14:solidFill>
                </w14:textFill>
              </w:rPr>
            </w:pPr>
            <w:r>
              <w:rPr>
                <w:rFonts w:hint="eastAsia" w:ascii="宋体" w:hAnsi="宋体" w:eastAsia="宋体" w:cs="宋体"/>
                <w:bCs/>
                <w:color w:val="000000" w:themeColor="text1"/>
                <w:kern w:val="0"/>
                <w:sz w:val="21"/>
                <w:szCs w:val="21"/>
                <w:highlight w:val="none"/>
                <w14:textFill>
                  <w14:solidFill>
                    <w14:schemeClr w14:val="tx1"/>
                  </w14:solidFill>
                </w14:textFill>
              </w:rPr>
              <w:t>6.74</w:t>
            </w:r>
          </w:p>
        </w:tc>
        <w:tc>
          <w:tcPr>
            <w:tcW w:w="1163" w:type="dxa"/>
            <w:vAlign w:val="center"/>
          </w:tcPr>
          <w:p>
            <w:pPr>
              <w:rPr>
                <w:rFonts w:hint="eastAsia" w:ascii="宋体" w:hAnsi="宋体" w:eastAsia="宋体" w:cs="宋体"/>
                <w:bCs/>
                <w:color w:val="000000" w:themeColor="text1"/>
                <w:kern w:val="0"/>
                <w:sz w:val="21"/>
                <w:szCs w:val="21"/>
                <w:highlight w:val="none"/>
                <w:lang w:bidi="ar"/>
                <w14:textFill>
                  <w14:solidFill>
                    <w14:schemeClr w14:val="tx1"/>
                  </w14:solidFill>
                </w14:textFill>
              </w:rPr>
            </w:pPr>
            <w:r>
              <w:rPr>
                <w:rFonts w:hint="eastAsia" w:ascii="宋体" w:hAnsi="宋体" w:eastAsia="宋体" w:cs="宋体"/>
                <w:bCs/>
                <w:color w:val="000000" w:themeColor="text1"/>
                <w:kern w:val="0"/>
                <w:sz w:val="21"/>
                <w:szCs w:val="21"/>
                <w:highlight w:val="none"/>
                <w14:textFill>
                  <w14:solidFill>
                    <w14:schemeClr w14:val="tx1"/>
                  </w14:solidFill>
                </w14:textFill>
              </w:rPr>
              <w:t>5.04</w:t>
            </w:r>
          </w:p>
        </w:tc>
        <w:tc>
          <w:tcPr>
            <w:tcW w:w="1163" w:type="dxa"/>
            <w:vAlign w:val="center"/>
          </w:tcPr>
          <w:p>
            <w:pPr>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2.77</w:t>
            </w:r>
          </w:p>
        </w:tc>
        <w:tc>
          <w:tcPr>
            <w:tcW w:w="1147" w:type="dxa"/>
            <w:vAlign w:val="center"/>
          </w:tcPr>
          <w:p>
            <w:pPr>
              <w:pStyle w:val="14"/>
              <w:spacing w:before="0" w:beforeAutospacing="0" w:after="0" w:afterAutospacing="0"/>
              <w:jc w:val="both"/>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 xml:space="preserve"> -1.4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exact"/>
          <w:jc w:val="center"/>
        </w:trPr>
        <w:tc>
          <w:tcPr>
            <w:tcW w:w="2385"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利润增长率（%）</w:t>
            </w:r>
          </w:p>
        </w:tc>
        <w:tc>
          <w:tcPr>
            <w:tcW w:w="1058" w:type="dxa"/>
            <w:vAlign w:val="center"/>
          </w:tcPr>
          <w:p>
            <w:pPr>
              <w:rPr>
                <w:rFonts w:hint="eastAsia" w:ascii="宋体" w:hAnsi="宋体" w:eastAsia="宋体" w:cs="宋体"/>
                <w:bCs/>
                <w:color w:val="000000" w:themeColor="text1"/>
                <w:kern w:val="0"/>
                <w:sz w:val="21"/>
                <w:szCs w:val="21"/>
                <w:highlight w:val="none"/>
                <w:lang w:bidi="ar"/>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7.32</w:t>
            </w:r>
          </w:p>
        </w:tc>
        <w:tc>
          <w:tcPr>
            <w:tcW w:w="1162" w:type="dxa"/>
            <w:vAlign w:val="center"/>
          </w:tcPr>
          <w:p>
            <w:pPr>
              <w:rPr>
                <w:rFonts w:hint="eastAsia" w:ascii="宋体" w:hAnsi="宋体" w:eastAsia="宋体" w:cs="宋体"/>
                <w:bCs/>
                <w:color w:val="000000" w:themeColor="text1"/>
                <w:kern w:val="0"/>
                <w:sz w:val="21"/>
                <w:szCs w:val="21"/>
                <w:highlight w:val="none"/>
                <w:lang w:bidi="ar"/>
                <w14:textFill>
                  <w14:solidFill>
                    <w14:schemeClr w14:val="tx1"/>
                  </w14:solidFill>
                </w14:textFill>
              </w:rPr>
            </w:pPr>
            <w:r>
              <w:rPr>
                <w:rFonts w:hint="eastAsia" w:ascii="宋体" w:hAnsi="宋体" w:eastAsia="宋体" w:cs="宋体"/>
                <w:bCs/>
                <w:color w:val="000000" w:themeColor="text1"/>
                <w:kern w:val="0"/>
                <w:sz w:val="21"/>
                <w:szCs w:val="21"/>
                <w:highlight w:val="none"/>
                <w:lang w:bidi="ar"/>
                <w14:textFill>
                  <w14:solidFill>
                    <w14:schemeClr w14:val="tx1"/>
                  </w14:solidFill>
                </w14:textFill>
              </w:rPr>
              <w:t>4.81</w:t>
            </w:r>
          </w:p>
        </w:tc>
        <w:tc>
          <w:tcPr>
            <w:tcW w:w="1163" w:type="dxa"/>
            <w:vAlign w:val="center"/>
          </w:tcPr>
          <w:p>
            <w:pPr>
              <w:rPr>
                <w:rFonts w:hint="eastAsia" w:ascii="宋体" w:hAnsi="宋体" w:eastAsia="宋体" w:cs="宋体"/>
                <w:bCs/>
                <w:color w:val="000000" w:themeColor="text1"/>
                <w:kern w:val="0"/>
                <w:sz w:val="21"/>
                <w:szCs w:val="21"/>
                <w:highlight w:val="none"/>
                <w:lang w:bidi="ar"/>
                <w14:textFill>
                  <w14:solidFill>
                    <w14:schemeClr w14:val="tx1"/>
                  </w14:solidFill>
                </w14:textFill>
              </w:rPr>
            </w:pPr>
            <w:r>
              <w:rPr>
                <w:rFonts w:hint="eastAsia" w:ascii="宋体" w:hAnsi="宋体" w:eastAsia="宋体" w:cs="宋体"/>
                <w:bCs/>
                <w:color w:val="000000" w:themeColor="text1"/>
                <w:kern w:val="0"/>
                <w:sz w:val="21"/>
                <w:szCs w:val="21"/>
                <w:highlight w:val="none"/>
                <w14:textFill>
                  <w14:solidFill>
                    <w14:schemeClr w14:val="tx1"/>
                  </w14:solidFill>
                </w14:textFill>
              </w:rPr>
              <w:t>3.28</w:t>
            </w:r>
          </w:p>
        </w:tc>
        <w:tc>
          <w:tcPr>
            <w:tcW w:w="1163" w:type="dxa"/>
            <w:vAlign w:val="center"/>
          </w:tcPr>
          <w:p>
            <w:pPr>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bidi="ar"/>
                <w14:textFill>
                  <w14:solidFill>
                    <w14:schemeClr w14:val="tx1"/>
                  </w14:solidFill>
                </w14:textFill>
              </w:rPr>
              <w:t>12.68</w:t>
            </w:r>
          </w:p>
        </w:tc>
        <w:tc>
          <w:tcPr>
            <w:tcW w:w="1147" w:type="dxa"/>
            <w:vAlign w:val="center"/>
          </w:tcPr>
          <w:p>
            <w:pPr>
              <w:pStyle w:val="14"/>
              <w:spacing w:before="0" w:beforeAutospacing="0" w:after="0" w:afterAutospacing="0"/>
              <w:jc w:val="both"/>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18.39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exact"/>
          <w:jc w:val="center"/>
        </w:trPr>
        <w:tc>
          <w:tcPr>
            <w:tcW w:w="2385"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规模以上企业（个）</w:t>
            </w:r>
          </w:p>
        </w:tc>
        <w:tc>
          <w:tcPr>
            <w:tcW w:w="1058"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15054</w:t>
            </w:r>
          </w:p>
        </w:tc>
        <w:tc>
          <w:tcPr>
            <w:tcW w:w="1162" w:type="dxa"/>
            <w:vAlign w:val="center"/>
          </w:tcPr>
          <w:p>
            <w:pPr>
              <w:rPr>
                <w:rFonts w:hint="eastAsia" w:ascii="宋体" w:hAnsi="宋体" w:eastAsia="宋体" w:cs="宋体"/>
                <w:bCs/>
                <w:color w:val="000000" w:themeColor="text1"/>
                <w:kern w:val="0"/>
                <w:sz w:val="21"/>
                <w:szCs w:val="21"/>
                <w:highlight w:val="none"/>
                <w:lang w:bidi="ar"/>
                <w14:textFill>
                  <w14:solidFill>
                    <w14:schemeClr w14:val="tx1"/>
                  </w14:solidFill>
                </w14:textFill>
              </w:rPr>
            </w:pPr>
            <w:r>
              <w:rPr>
                <w:rFonts w:hint="eastAsia" w:ascii="宋体" w:hAnsi="宋体" w:eastAsia="宋体" w:cs="宋体"/>
                <w:bCs/>
                <w:color w:val="000000" w:themeColor="text1"/>
                <w:kern w:val="0"/>
                <w:sz w:val="21"/>
                <w:szCs w:val="21"/>
                <w:highlight w:val="none"/>
                <w:lang w:bidi="ar"/>
                <w14:textFill>
                  <w14:solidFill>
                    <w14:schemeClr w14:val="tx1"/>
                  </w14:solidFill>
                </w14:textFill>
              </w:rPr>
              <w:t>15350</w:t>
            </w:r>
          </w:p>
        </w:tc>
        <w:tc>
          <w:tcPr>
            <w:tcW w:w="1163" w:type="dxa"/>
            <w:vAlign w:val="center"/>
          </w:tcPr>
          <w:p>
            <w:pPr>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14:textFill>
                  <w14:solidFill>
                    <w14:schemeClr w14:val="tx1"/>
                  </w14:solidFill>
                </w14:textFill>
              </w:rPr>
              <w:t>15571</w:t>
            </w:r>
          </w:p>
        </w:tc>
        <w:tc>
          <w:tcPr>
            <w:tcW w:w="1163" w:type="dxa"/>
            <w:vAlign w:val="center"/>
          </w:tcPr>
          <w:p>
            <w:pPr>
              <w:rPr>
                <w:rFonts w:hint="eastAsia" w:ascii="宋体" w:hAnsi="宋体" w:eastAsia="宋体" w:cs="宋体"/>
                <w:bCs/>
                <w:color w:val="000000" w:themeColor="text1"/>
                <w:kern w:val="0"/>
                <w:sz w:val="21"/>
                <w:szCs w:val="21"/>
                <w:highlight w:val="none"/>
                <w:lang w:bidi="ar"/>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15835</w:t>
            </w:r>
          </w:p>
        </w:tc>
        <w:tc>
          <w:tcPr>
            <w:tcW w:w="1147" w:type="dxa"/>
            <w:vAlign w:val="center"/>
          </w:tcPr>
          <w:p>
            <w:pPr>
              <w:pStyle w:val="14"/>
              <w:spacing w:before="0" w:beforeAutospacing="0" w:after="0" w:afterAutospacing="0"/>
              <w:jc w:val="both"/>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16592</w:t>
            </w:r>
          </w:p>
        </w:tc>
      </w:tr>
    </w:tbl>
    <w:p>
      <w:pPr>
        <w:pStyle w:val="5"/>
        <w:ind w:firstLine="643"/>
        <w:rPr>
          <w:rFonts w:hint="eastAsia" w:ascii="宋体" w:hAnsi="宋体" w:eastAsia="宋体" w:cs="宋体"/>
          <w:b/>
          <w:bCs/>
          <w:color w:val="000000" w:themeColor="text1"/>
          <w:sz w:val="21"/>
          <w:szCs w:val="21"/>
          <w:highlight w:val="none"/>
          <w14:textFill>
            <w14:solidFill>
              <w14:schemeClr w14:val="tx1"/>
            </w14:solidFill>
          </w14:textFill>
        </w:rPr>
      </w:pPr>
      <w:bookmarkStart w:id="59" w:name="_Toc17765"/>
      <w:bookmarkStart w:id="60" w:name="_Toc11270"/>
      <w:bookmarkStart w:id="61" w:name="_Toc29254"/>
      <w:bookmarkStart w:id="62" w:name="_Toc9276"/>
      <w:bookmarkStart w:id="63" w:name="_Toc17649"/>
      <w:bookmarkStart w:id="64" w:name="_Toc13271"/>
      <w:bookmarkStart w:id="65" w:name="_Toc10226"/>
      <w:bookmarkStart w:id="66" w:name="_Toc2002"/>
      <w:bookmarkStart w:id="67" w:name="_Toc5854"/>
      <w:bookmarkStart w:id="68" w:name="_Toc68512831"/>
      <w:bookmarkStart w:id="69" w:name="_Toc28354"/>
      <w:bookmarkStart w:id="70" w:name="_Toc17047"/>
      <w:bookmarkStart w:id="71" w:name="_Toc15193"/>
      <w:bookmarkStart w:id="72" w:name="_Toc5459"/>
      <w:bookmarkStart w:id="73" w:name="_Toc328"/>
      <w:bookmarkStart w:id="74" w:name="_Toc18172"/>
      <w:bookmarkStart w:id="75" w:name="_Toc11718"/>
      <w:bookmarkStart w:id="76" w:name="_Toc20683"/>
      <w:r>
        <w:rPr>
          <w:rFonts w:hint="eastAsia" w:ascii="宋体" w:hAnsi="宋体" w:eastAsia="宋体" w:cs="宋体"/>
          <w:b/>
          <w:bCs/>
          <w:color w:val="000000" w:themeColor="text1"/>
          <w:sz w:val="21"/>
          <w:szCs w:val="21"/>
          <w:highlight w:val="none"/>
          <w14:textFill>
            <w14:solidFill>
              <w14:schemeClr w14:val="tx1"/>
            </w14:solidFill>
          </w14:textFill>
        </w:rPr>
        <w:t>2、产品</w:t>
      </w:r>
      <w:bookmarkEnd w:id="59"/>
      <w:bookmarkEnd w:id="60"/>
      <w:bookmarkEnd w:id="61"/>
      <w:bookmarkEnd w:id="62"/>
      <w:r>
        <w:rPr>
          <w:rFonts w:hint="eastAsia" w:ascii="宋体" w:hAnsi="宋体" w:eastAsia="宋体" w:cs="宋体"/>
          <w:b/>
          <w:bCs/>
          <w:color w:val="000000" w:themeColor="text1"/>
          <w:sz w:val="21"/>
          <w:szCs w:val="21"/>
          <w:highlight w:val="none"/>
          <w14:textFill>
            <w14:solidFill>
              <w14:schemeClr w14:val="tx1"/>
            </w14:solidFill>
          </w14:textFill>
        </w:rPr>
        <w:t>质量水平整体提</w:t>
      </w:r>
      <w:bookmarkEnd w:id="63"/>
      <w:bookmarkEnd w:id="64"/>
      <w:bookmarkEnd w:id="65"/>
      <w:bookmarkEnd w:id="66"/>
      <w:bookmarkEnd w:id="67"/>
      <w:bookmarkEnd w:id="68"/>
      <w:r>
        <w:rPr>
          <w:rFonts w:hint="eastAsia" w:ascii="宋体" w:hAnsi="宋体" w:eastAsia="宋体" w:cs="宋体"/>
          <w:b/>
          <w:bCs/>
          <w:color w:val="000000" w:themeColor="text1"/>
          <w:sz w:val="21"/>
          <w:szCs w:val="21"/>
          <w:highlight w:val="none"/>
          <w14:textFill>
            <w14:solidFill>
              <w14:schemeClr w14:val="tx1"/>
            </w14:solidFill>
          </w14:textFill>
        </w:rPr>
        <w:t>高</w:t>
      </w:r>
      <w:bookmarkEnd w:id="69"/>
      <w:bookmarkEnd w:id="70"/>
      <w:bookmarkEnd w:id="71"/>
      <w:bookmarkEnd w:id="72"/>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bookmarkStart w:id="77" w:name="_Toc9346"/>
      <w:bookmarkStart w:id="78" w:name="_Toc18594"/>
      <w:r>
        <w:rPr>
          <w:rFonts w:hint="eastAsia" w:ascii="宋体" w:hAnsi="宋体" w:eastAsia="宋体" w:cs="宋体"/>
          <w:color w:val="000000" w:themeColor="text1"/>
          <w:sz w:val="21"/>
          <w:szCs w:val="21"/>
          <w:highlight w:val="none"/>
          <w14:textFill>
            <w14:solidFill>
              <w14:schemeClr w14:val="tx1"/>
            </w14:solidFill>
          </w14:textFill>
        </w:rPr>
        <w:t>大力实施三品战略，加快产品转型升级，淘汰落后产能等措施，促进行业向高端化、品牌化、绿色化转型。塑料制品技术含量和品质提升，高端产品市场需求增长。企业更加注重品牌建设，积极开展标准化工作，加强国标、行标制修订工作同时，积极推进团标体系建设，服务行业技术高值化发展。塑料加工行业内规模较大、总体质量较好的龙头企业发展步伐加快，数量增加，占比提升。</w:t>
      </w:r>
      <w:bookmarkEnd w:id="77"/>
      <w:bookmarkEnd w:id="78"/>
    </w:p>
    <w:bookmarkEnd w:id="73"/>
    <w:bookmarkEnd w:id="74"/>
    <w:bookmarkEnd w:id="75"/>
    <w:bookmarkEnd w:id="76"/>
    <w:p>
      <w:pPr>
        <w:pStyle w:val="5"/>
        <w:ind w:firstLine="643"/>
        <w:rPr>
          <w:rFonts w:hint="eastAsia" w:ascii="宋体" w:hAnsi="宋体" w:eastAsia="宋体" w:cs="宋体"/>
          <w:color w:val="000000" w:themeColor="text1"/>
          <w:sz w:val="21"/>
          <w:szCs w:val="21"/>
          <w:highlight w:val="none"/>
          <w14:textFill>
            <w14:solidFill>
              <w14:schemeClr w14:val="tx1"/>
            </w14:solidFill>
          </w14:textFill>
        </w:rPr>
      </w:pPr>
      <w:bookmarkStart w:id="79" w:name="_Toc11155"/>
      <w:bookmarkStart w:id="80" w:name="_Toc13213"/>
      <w:bookmarkStart w:id="81" w:name="_Toc30587"/>
      <w:bookmarkStart w:id="82" w:name="_Toc29160"/>
      <w:bookmarkStart w:id="83" w:name="_Toc30583"/>
      <w:bookmarkStart w:id="84" w:name="_Toc14730"/>
      <w:bookmarkStart w:id="85" w:name="_Toc13227"/>
      <w:bookmarkStart w:id="86" w:name="_Toc9033"/>
      <w:bookmarkStart w:id="87" w:name="_Toc28094"/>
      <w:bookmarkStart w:id="88" w:name="_Toc11174"/>
      <w:bookmarkStart w:id="89" w:name="_Toc68512832"/>
      <w:bookmarkStart w:id="90" w:name="_Toc14981"/>
      <w:bookmarkStart w:id="91" w:name="_Toc8038"/>
      <w:bookmarkStart w:id="92" w:name="_Toc15534"/>
      <w:r>
        <w:rPr>
          <w:rFonts w:hint="eastAsia" w:ascii="宋体" w:hAnsi="宋体" w:eastAsia="宋体" w:cs="宋体"/>
          <w:b/>
          <w:bCs/>
          <w:color w:val="000000" w:themeColor="text1"/>
          <w:sz w:val="21"/>
          <w:szCs w:val="21"/>
          <w:highlight w:val="none"/>
          <w14:textFill>
            <w14:solidFill>
              <w14:schemeClr w14:val="tx1"/>
            </w14:solidFill>
          </w14:textFill>
        </w:rPr>
        <w:t>3、科技创新能力持续增强</w:t>
      </w:r>
      <w:bookmarkEnd w:id="79"/>
      <w:bookmarkEnd w:id="80"/>
      <w:bookmarkEnd w:id="81"/>
      <w:bookmarkEnd w:id="82"/>
      <w:bookmarkEnd w:id="83"/>
      <w:bookmarkEnd w:id="84"/>
      <w:bookmarkEnd w:id="85"/>
      <w:bookmarkEnd w:id="86"/>
      <w:bookmarkEnd w:id="87"/>
      <w:bookmarkEnd w:id="88"/>
      <w:bookmarkEnd w:id="89"/>
      <w:bookmarkEnd w:id="90"/>
      <w:bookmarkEnd w:id="91"/>
      <w:bookmarkEnd w:id="92"/>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至“十三五”末，建成国家重点实验室5个，国家工程实验室8个，国家工程（技术）研究中心5个，国家级企业技术中心48个，国家技术创新示范企业9个。建成轻工行业重点实验室15个、中国轻工业工程技术中心5个，中国轻工业工业设计中心5个，特色区域和产业集群</w:t>
      </w:r>
      <w:r>
        <w:rPr>
          <w:rFonts w:hint="eastAsia" w:ascii="宋体" w:hAnsi="宋体" w:eastAsia="宋体" w:cs="宋体"/>
          <w:color w:val="000000" w:themeColor="text1"/>
          <w:sz w:val="21"/>
          <w:szCs w:val="21"/>
          <w:highlight w:val="none"/>
          <w:lang w:val="en-US" w:eastAsia="zh-CN"/>
          <w14:textFill>
            <w14:solidFill>
              <w14:schemeClr w14:val="tx1"/>
            </w14:solidFill>
          </w14:textFill>
        </w:rPr>
        <w:t>17</w:t>
      </w:r>
      <w:r>
        <w:rPr>
          <w:rFonts w:hint="eastAsia" w:ascii="宋体" w:hAnsi="宋体" w:eastAsia="宋体" w:cs="宋体"/>
          <w:color w:val="000000" w:themeColor="text1"/>
          <w:sz w:val="21"/>
          <w:szCs w:val="21"/>
          <w:highlight w:val="none"/>
          <w14:textFill>
            <w14:solidFill>
              <w14:schemeClr w14:val="tx1"/>
            </w14:solidFill>
          </w14:textFill>
        </w:rPr>
        <w:t>个，塑料加工发明专利75652项。国内开设高分子材料科学与工程相关专业的高校200多家，均与企业开展创新协作。企业建立院士工作站近30个。科技创新为行业积极拓展新的应用领域，创造新的需求和新的经济增长点奠定了基础。</w:t>
      </w:r>
    </w:p>
    <w:p>
      <w:pPr>
        <w:pStyle w:val="5"/>
        <w:ind w:firstLine="643"/>
        <w:rPr>
          <w:rFonts w:hint="eastAsia" w:ascii="宋体" w:hAnsi="宋体" w:eastAsia="宋体" w:cs="宋体"/>
          <w:b/>
          <w:bCs/>
          <w:color w:val="000000" w:themeColor="text1"/>
          <w:sz w:val="21"/>
          <w:szCs w:val="21"/>
          <w:highlight w:val="none"/>
          <w14:textFill>
            <w14:solidFill>
              <w14:schemeClr w14:val="tx1"/>
            </w14:solidFill>
          </w14:textFill>
        </w:rPr>
      </w:pPr>
      <w:bookmarkStart w:id="93" w:name="_Toc17926"/>
      <w:bookmarkStart w:id="94" w:name="_Toc2273"/>
      <w:bookmarkStart w:id="95" w:name="_Toc6913"/>
      <w:bookmarkStart w:id="96" w:name="_Toc3874"/>
      <w:bookmarkStart w:id="97" w:name="_Toc6363"/>
      <w:bookmarkStart w:id="98" w:name="_Toc8680"/>
      <w:bookmarkStart w:id="99" w:name="_Toc17808"/>
      <w:bookmarkStart w:id="100" w:name="_Toc28826"/>
      <w:bookmarkStart w:id="101" w:name="_Toc4786"/>
      <w:bookmarkStart w:id="102" w:name="_Toc16602"/>
      <w:bookmarkStart w:id="103" w:name="_Toc11744"/>
      <w:bookmarkStart w:id="104" w:name="_Toc28815"/>
      <w:bookmarkStart w:id="105" w:name="_Toc68512833"/>
      <w:bookmarkStart w:id="106" w:name="_Toc18792"/>
      <w:r>
        <w:rPr>
          <w:rFonts w:hint="eastAsia" w:ascii="宋体" w:hAnsi="宋体" w:eastAsia="宋体" w:cs="宋体"/>
          <w:b/>
          <w:bCs/>
          <w:color w:val="000000" w:themeColor="text1"/>
          <w:sz w:val="21"/>
          <w:szCs w:val="21"/>
          <w:highlight w:val="none"/>
          <w14:textFill>
            <w14:solidFill>
              <w14:schemeClr w14:val="tx1"/>
            </w14:solidFill>
          </w14:textFill>
        </w:rPr>
        <w:t>4、绿色生态化发展取得明显成效</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行业稳步推进绿色可持续发展。积极应对废旧塑料污染，推动可循环、易回收、可降解产品和技术，推动降解塑料替代部分一次性塑料，加快推进塑料减量化、资源化，加强塑料回收及高值化利用。积极推进环保型助剂应用，推进节能减排、VOC排放治理工作，积极开展ODS、HBCD等物质淘汰工作及产品替代技术研究，加强清洁生产，提高绿色制造比重，推进塑料行业绿色低碳发展。</w:t>
      </w:r>
    </w:p>
    <w:p>
      <w:pPr>
        <w:pStyle w:val="5"/>
        <w:ind w:firstLine="643"/>
        <w:rPr>
          <w:rFonts w:hint="eastAsia" w:ascii="宋体" w:hAnsi="宋体" w:eastAsia="宋体" w:cs="宋体"/>
          <w:b/>
          <w:bCs/>
          <w:color w:val="000000" w:themeColor="text1"/>
          <w:sz w:val="21"/>
          <w:szCs w:val="21"/>
          <w:highlight w:val="none"/>
          <w14:textFill>
            <w14:solidFill>
              <w14:schemeClr w14:val="tx1"/>
            </w14:solidFill>
          </w14:textFill>
        </w:rPr>
      </w:pPr>
      <w:bookmarkStart w:id="107" w:name="_Toc24556"/>
      <w:bookmarkStart w:id="108" w:name="_Toc28972"/>
      <w:bookmarkStart w:id="109" w:name="_Toc32007"/>
      <w:bookmarkStart w:id="110" w:name="_Toc25601"/>
      <w:bookmarkStart w:id="111" w:name="_Toc7951"/>
      <w:bookmarkStart w:id="112" w:name="_Toc68512834"/>
      <w:bookmarkStart w:id="113" w:name="_Toc16694"/>
      <w:bookmarkStart w:id="114" w:name="_Toc30714"/>
      <w:bookmarkStart w:id="115" w:name="_Toc22571"/>
      <w:bookmarkStart w:id="116" w:name="_Toc11142"/>
      <w:r>
        <w:rPr>
          <w:rFonts w:hint="eastAsia" w:ascii="宋体" w:hAnsi="宋体" w:eastAsia="宋体" w:cs="宋体"/>
          <w:b/>
          <w:bCs/>
          <w:color w:val="000000" w:themeColor="text1"/>
          <w:sz w:val="21"/>
          <w:szCs w:val="21"/>
          <w:highlight w:val="none"/>
          <w14:textFill>
            <w14:solidFill>
              <w14:schemeClr w14:val="tx1"/>
            </w14:solidFill>
          </w14:textFill>
        </w:rPr>
        <w:t>5、国际市场竞争力</w:t>
      </w:r>
      <w:bookmarkEnd w:id="107"/>
      <w:bookmarkEnd w:id="108"/>
      <w:bookmarkEnd w:id="109"/>
      <w:bookmarkEnd w:id="110"/>
      <w:bookmarkEnd w:id="111"/>
      <w:bookmarkEnd w:id="112"/>
      <w:r>
        <w:rPr>
          <w:rFonts w:hint="eastAsia" w:ascii="宋体" w:hAnsi="宋体" w:eastAsia="宋体" w:cs="宋体"/>
          <w:b/>
          <w:bCs/>
          <w:color w:val="000000" w:themeColor="text1"/>
          <w:sz w:val="21"/>
          <w:szCs w:val="21"/>
          <w:highlight w:val="none"/>
          <w14:textFill>
            <w14:solidFill>
              <w14:schemeClr w14:val="tx1"/>
            </w14:solidFill>
          </w14:textFill>
        </w:rPr>
        <w:t>提升</w:t>
      </w:r>
      <w:bookmarkEnd w:id="113"/>
      <w:bookmarkEnd w:id="114"/>
      <w:bookmarkEnd w:id="115"/>
      <w:bookmarkEnd w:id="116"/>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“十三五”期间塑料制品出口稳步增长，扩大了国际市场份额。2020年塑料制品累计出口额852.7亿美元，同比增长19.6%。</w:t>
      </w:r>
    </w:p>
    <w:p>
      <w:pPr>
        <w:jc w:val="center"/>
        <w:rPr>
          <w:rFonts w:hint="eastAsia" w:ascii="宋体" w:hAnsi="宋体" w:eastAsia="宋体" w:cs="宋体"/>
          <w:b/>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表2  塑料制品出口额增长率</w:t>
      </w:r>
    </w:p>
    <w:tbl>
      <w:tblPr>
        <w:tblStyle w:val="16"/>
        <w:tblW w:w="82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8"/>
        <w:gridCol w:w="1276"/>
        <w:gridCol w:w="992"/>
        <w:gridCol w:w="1134"/>
        <w:gridCol w:w="1109"/>
        <w:gridCol w:w="12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jc w:val="center"/>
        </w:trPr>
        <w:tc>
          <w:tcPr>
            <w:tcW w:w="2528" w:type="dxa"/>
            <w:tcBorders>
              <w:tl2br w:val="single" w:color="auto" w:sz="4" w:space="0"/>
            </w:tcBorders>
            <w:vAlign w:val="center"/>
          </w:tcPr>
          <w:p>
            <w:pPr>
              <w:ind w:firstLine="1050" w:firstLineChars="500"/>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时间</w:t>
            </w:r>
          </w:p>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指标</w:t>
            </w:r>
          </w:p>
        </w:tc>
        <w:tc>
          <w:tcPr>
            <w:tcW w:w="1276"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2016年</w:t>
            </w:r>
          </w:p>
        </w:tc>
        <w:tc>
          <w:tcPr>
            <w:tcW w:w="992"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2017年</w:t>
            </w:r>
          </w:p>
        </w:tc>
        <w:tc>
          <w:tcPr>
            <w:tcW w:w="1134"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2018年</w:t>
            </w:r>
          </w:p>
        </w:tc>
        <w:tc>
          <w:tcPr>
            <w:tcW w:w="1109"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2019年</w:t>
            </w:r>
          </w:p>
        </w:tc>
        <w:tc>
          <w:tcPr>
            <w:tcW w:w="1218"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2020年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exact"/>
          <w:jc w:val="center"/>
        </w:trPr>
        <w:tc>
          <w:tcPr>
            <w:tcW w:w="2528"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出口额增长率（%）（%）</w:t>
            </w:r>
          </w:p>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（亿美元）</w:t>
            </w:r>
          </w:p>
        </w:tc>
        <w:tc>
          <w:tcPr>
            <w:tcW w:w="1276" w:type="dxa"/>
            <w:vAlign w:val="center"/>
          </w:tcPr>
          <w:p>
            <w:pPr>
              <w:widowControl/>
              <w:textAlignment w:val="center"/>
              <w:rPr>
                <w:rFonts w:hint="eastAsia" w:ascii="宋体" w:hAnsi="宋体" w:eastAsia="宋体" w:cs="宋体"/>
                <w:bCs/>
                <w:color w:val="000000" w:themeColor="text1"/>
                <w:kern w:val="0"/>
                <w:sz w:val="21"/>
                <w:szCs w:val="21"/>
                <w:highlight w:val="none"/>
                <w:lang w:bidi="ar"/>
                <w14:textFill>
                  <w14:solidFill>
                    <w14:schemeClr w14:val="tx1"/>
                  </w14:solidFill>
                </w14:textFill>
              </w:rPr>
            </w:pPr>
            <w:r>
              <w:rPr>
                <w:rFonts w:hint="eastAsia" w:ascii="宋体" w:hAnsi="宋体" w:eastAsia="宋体" w:cs="宋体"/>
                <w:bCs/>
                <w:color w:val="000000" w:themeColor="text1"/>
                <w:kern w:val="0"/>
                <w:sz w:val="21"/>
                <w:szCs w:val="21"/>
                <w:highlight w:val="none"/>
                <w:lang w:bidi="ar"/>
                <w14:textFill>
                  <w14:solidFill>
                    <w14:schemeClr w14:val="tx1"/>
                  </w14:solidFill>
                </w14:textFill>
              </w:rPr>
              <w:t>-5.17</w:t>
            </w:r>
          </w:p>
        </w:tc>
        <w:tc>
          <w:tcPr>
            <w:tcW w:w="992" w:type="dxa"/>
            <w:vAlign w:val="center"/>
          </w:tcPr>
          <w:p>
            <w:pPr>
              <w:widowControl/>
              <w:textAlignment w:val="center"/>
              <w:rPr>
                <w:rFonts w:hint="eastAsia" w:ascii="宋体" w:hAnsi="宋体" w:eastAsia="宋体" w:cs="宋体"/>
                <w:bCs/>
                <w:color w:val="000000" w:themeColor="text1"/>
                <w:kern w:val="0"/>
                <w:sz w:val="21"/>
                <w:szCs w:val="21"/>
                <w:highlight w:val="none"/>
                <w:lang w:bidi="ar"/>
                <w14:textFill>
                  <w14:solidFill>
                    <w14:schemeClr w14:val="tx1"/>
                  </w14:solidFill>
                </w14:textFill>
              </w:rPr>
            </w:pPr>
            <w:r>
              <w:rPr>
                <w:rFonts w:hint="eastAsia" w:ascii="宋体" w:hAnsi="宋体" w:eastAsia="宋体" w:cs="宋体"/>
                <w:bCs/>
                <w:color w:val="000000" w:themeColor="text1"/>
                <w:kern w:val="0"/>
                <w:sz w:val="21"/>
                <w:szCs w:val="21"/>
                <w:highlight w:val="none"/>
                <w:lang w:bidi="ar"/>
                <w14:textFill>
                  <w14:solidFill>
                    <w14:schemeClr w14:val="tx1"/>
                  </w14:solidFill>
                </w14:textFill>
              </w:rPr>
              <w:t>8.62</w:t>
            </w:r>
          </w:p>
        </w:tc>
        <w:tc>
          <w:tcPr>
            <w:tcW w:w="1134" w:type="dxa"/>
            <w:vAlign w:val="center"/>
          </w:tcPr>
          <w:p>
            <w:pPr>
              <w:widowControl/>
              <w:textAlignment w:val="center"/>
              <w:rPr>
                <w:rFonts w:hint="eastAsia" w:ascii="宋体" w:hAnsi="宋体" w:eastAsia="宋体" w:cs="宋体"/>
                <w:bCs/>
                <w:color w:val="000000" w:themeColor="text1"/>
                <w:kern w:val="0"/>
                <w:sz w:val="21"/>
                <w:szCs w:val="21"/>
                <w:highlight w:val="none"/>
                <w:lang w:bidi="ar"/>
                <w14:textFill>
                  <w14:solidFill>
                    <w14:schemeClr w14:val="tx1"/>
                  </w14:solidFill>
                </w14:textFill>
              </w:rPr>
            </w:pPr>
            <w:r>
              <w:rPr>
                <w:rFonts w:hint="eastAsia" w:ascii="宋体" w:hAnsi="宋体" w:eastAsia="宋体" w:cs="宋体"/>
                <w:bCs/>
                <w:color w:val="000000" w:themeColor="text1"/>
                <w:kern w:val="0"/>
                <w:sz w:val="21"/>
                <w:szCs w:val="21"/>
                <w:highlight w:val="none"/>
                <w:lang w:bidi="ar"/>
                <w14:textFill>
                  <w14:solidFill>
                    <w14:schemeClr w14:val="tx1"/>
                  </w14:solidFill>
                </w14:textFill>
              </w:rPr>
              <w:t>10.67</w:t>
            </w:r>
          </w:p>
        </w:tc>
        <w:tc>
          <w:tcPr>
            <w:tcW w:w="1109"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7.94</w:t>
            </w:r>
          </w:p>
        </w:tc>
        <w:tc>
          <w:tcPr>
            <w:tcW w:w="1218" w:type="dxa"/>
            <w:vAlign w:val="center"/>
          </w:tcPr>
          <w:p>
            <w:pPr>
              <w:rPr>
                <w:rFonts w:hint="eastAsia" w:ascii="宋体" w:hAnsi="宋体" w:eastAsia="宋体" w:cs="宋体"/>
                <w:bCs/>
                <w:color w:val="000000" w:themeColor="text1"/>
                <w:sz w:val="21"/>
                <w:szCs w:val="21"/>
                <w:highlight w:val="none"/>
                <w14:textFill>
                  <w14:solidFill>
                    <w14:schemeClr w14:val="tx1"/>
                  </w14:solidFill>
                </w14:textFill>
              </w:rPr>
            </w:pPr>
            <w:r>
              <w:rPr>
                <w:rFonts w:hint="eastAsia" w:ascii="宋体" w:hAnsi="宋体" w:eastAsia="宋体" w:cs="宋体"/>
                <w:bCs/>
                <w:color w:val="000000" w:themeColor="text1"/>
                <w:sz w:val="21"/>
                <w:szCs w:val="21"/>
                <w:highlight w:val="none"/>
                <w14:textFill>
                  <w14:solidFill>
                    <w14:schemeClr w14:val="tx1"/>
                  </w14:solidFill>
                </w14:textFill>
              </w:rPr>
              <w:t>19.6</w:t>
            </w:r>
          </w:p>
        </w:tc>
      </w:tr>
    </w:tbl>
    <w:p>
      <w:pPr>
        <w:pStyle w:val="4"/>
        <w:numPr>
          <w:ilvl w:val="0"/>
          <w:numId w:val="1"/>
        </w:numPr>
        <w:rPr>
          <w:rFonts w:hint="eastAsia" w:ascii="宋体" w:hAnsi="宋体" w:eastAsia="宋体" w:cs="宋体"/>
          <w:color w:val="000000" w:themeColor="text1"/>
          <w:sz w:val="21"/>
          <w:szCs w:val="21"/>
          <w:highlight w:val="none"/>
          <w14:textFill>
            <w14:solidFill>
              <w14:schemeClr w14:val="tx1"/>
            </w14:solidFill>
          </w14:textFill>
        </w:rPr>
      </w:pPr>
      <w:bookmarkStart w:id="117" w:name="_Toc19436"/>
      <w:bookmarkStart w:id="118" w:name="_Toc6981"/>
      <w:bookmarkStart w:id="119" w:name="_Toc5738"/>
      <w:bookmarkStart w:id="120" w:name="_Toc18298"/>
      <w:bookmarkStart w:id="121" w:name="_Toc2299"/>
      <w:bookmarkStart w:id="122" w:name="_Toc31293"/>
      <w:bookmarkStart w:id="123" w:name="_Toc15482"/>
      <w:bookmarkStart w:id="124" w:name="_Toc26935"/>
      <w:bookmarkStart w:id="125" w:name="_Toc20912"/>
      <w:bookmarkStart w:id="126" w:name="_Toc14773"/>
      <w:bookmarkStart w:id="127" w:name="_Toc68512835"/>
      <w:bookmarkStart w:id="128" w:name="_Toc3054"/>
      <w:bookmarkStart w:id="129" w:name="_Toc24755"/>
      <w:bookmarkStart w:id="130" w:name="_Toc3402"/>
      <w:r>
        <w:rPr>
          <w:rFonts w:hint="eastAsia" w:ascii="宋体" w:hAnsi="宋体" w:eastAsia="宋体" w:cs="宋体"/>
          <w:color w:val="000000" w:themeColor="text1"/>
          <w:sz w:val="21"/>
          <w:szCs w:val="21"/>
          <w:highlight w:val="none"/>
          <w14:textFill>
            <w14:solidFill>
              <w14:schemeClr w14:val="tx1"/>
            </w14:solidFill>
          </w14:textFill>
        </w:rPr>
        <w:t>存在的主要问题</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shd w:val="clear" w:color="auto" w:fill="FFFFFF"/>
          <w14:textFill>
            <w14:solidFill>
              <w14:schemeClr w14:val="tx1"/>
            </w14:solidFill>
          </w14:textFill>
        </w:rPr>
        <w:t>“</w:t>
      </w:r>
      <w:r>
        <w:rPr>
          <w:rFonts w:hint="eastAsia" w:ascii="宋体" w:hAnsi="宋体" w:eastAsia="宋体" w:cs="宋体"/>
          <w:color w:val="000000" w:themeColor="text1"/>
          <w:sz w:val="21"/>
          <w:szCs w:val="21"/>
          <w:highlight w:val="none"/>
          <w14:textFill>
            <w14:solidFill>
              <w14:schemeClr w14:val="tx1"/>
            </w14:solidFill>
          </w14:textFill>
        </w:rPr>
        <w:t>十三五”期间塑料加工业的发展取得较大成绩，但还面临诸多发展困难与问题，存在一些不充分不平衡的问题。</w:t>
      </w:r>
    </w:p>
    <w:p>
      <w:pPr>
        <w:pStyle w:val="5"/>
        <w:ind w:firstLine="643"/>
        <w:rPr>
          <w:rFonts w:hint="eastAsia" w:ascii="宋体" w:hAnsi="宋体" w:eastAsia="宋体" w:cs="宋体"/>
          <w:color w:val="000000" w:themeColor="text1"/>
          <w:sz w:val="21"/>
          <w:szCs w:val="21"/>
          <w:highlight w:val="none"/>
          <w14:textFill>
            <w14:solidFill>
              <w14:schemeClr w14:val="tx1"/>
            </w14:solidFill>
          </w14:textFill>
        </w:rPr>
      </w:pPr>
      <w:bookmarkStart w:id="131" w:name="_Toc14975"/>
      <w:bookmarkStart w:id="132" w:name="_Toc31697"/>
      <w:bookmarkStart w:id="133" w:name="_Toc21567"/>
      <w:bookmarkStart w:id="134" w:name="_Toc68512836"/>
      <w:bookmarkStart w:id="135" w:name="_Toc18084"/>
      <w:bookmarkStart w:id="136" w:name="_Toc29022"/>
      <w:bookmarkStart w:id="137" w:name="_Toc26961"/>
      <w:bookmarkStart w:id="138" w:name="_Toc29288"/>
      <w:bookmarkStart w:id="139" w:name="_Toc26723"/>
      <w:bookmarkStart w:id="140" w:name="_Toc17688"/>
      <w:r>
        <w:rPr>
          <w:rFonts w:hint="eastAsia" w:ascii="宋体" w:hAnsi="宋体" w:eastAsia="宋体" w:cs="宋体"/>
          <w:b/>
          <w:bCs/>
          <w:color w:val="000000" w:themeColor="text1"/>
          <w:sz w:val="21"/>
          <w:szCs w:val="21"/>
          <w:highlight w:val="none"/>
          <w14:textFill>
            <w14:solidFill>
              <w14:schemeClr w14:val="tx1"/>
            </w14:solidFill>
          </w14:textFill>
        </w:rPr>
        <w:t>1、行业集中度不</w:t>
      </w:r>
      <w:bookmarkEnd w:id="131"/>
      <w:bookmarkEnd w:id="132"/>
      <w:bookmarkEnd w:id="133"/>
      <w:bookmarkEnd w:id="134"/>
      <w:bookmarkEnd w:id="135"/>
      <w:bookmarkEnd w:id="136"/>
      <w:r>
        <w:rPr>
          <w:rFonts w:hint="eastAsia" w:ascii="宋体" w:hAnsi="宋体" w:eastAsia="宋体" w:cs="宋体"/>
          <w:b/>
          <w:bCs/>
          <w:color w:val="000000" w:themeColor="text1"/>
          <w:sz w:val="21"/>
          <w:szCs w:val="21"/>
          <w:highlight w:val="none"/>
          <w14:textFill>
            <w14:solidFill>
              <w14:schemeClr w14:val="tx1"/>
            </w14:solidFill>
          </w14:textFill>
        </w:rPr>
        <w:t>高</w:t>
      </w:r>
      <w:bookmarkEnd w:id="137"/>
      <w:bookmarkEnd w:id="138"/>
      <w:bookmarkEnd w:id="139"/>
      <w:bookmarkEnd w:id="140"/>
    </w:p>
    <w:p>
      <w:pPr>
        <w:pStyle w:val="2"/>
        <w:ind w:left="0" w:leftChars="0"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塑料加工业整体集中度不够。如2020年规模以上企业达16592家，营业收入为18890.13亿元，平均营业收入为1.14亿元。另有十多万家规模以下企业，在技术进步、新产品研发方面缺乏实力，在运营和管理上缺乏人才和资金，综合能力不足，难以高质量发展。</w:t>
      </w:r>
    </w:p>
    <w:p>
      <w:pPr>
        <w:pStyle w:val="5"/>
        <w:ind w:firstLine="643"/>
        <w:rPr>
          <w:rFonts w:hint="eastAsia" w:ascii="宋体" w:hAnsi="宋体" w:eastAsia="宋体" w:cs="宋体"/>
          <w:color w:val="000000" w:themeColor="text1"/>
          <w:sz w:val="21"/>
          <w:szCs w:val="21"/>
          <w:highlight w:val="none"/>
          <w14:textFill>
            <w14:solidFill>
              <w14:schemeClr w14:val="tx1"/>
            </w14:solidFill>
          </w14:textFill>
        </w:rPr>
      </w:pPr>
      <w:bookmarkStart w:id="141" w:name="_Toc16559"/>
      <w:bookmarkStart w:id="142" w:name="_Toc27348"/>
      <w:bookmarkStart w:id="143" w:name="_Toc31975"/>
      <w:bookmarkStart w:id="144" w:name="_Toc68512837"/>
      <w:bookmarkStart w:id="145" w:name="_Toc30716"/>
      <w:bookmarkStart w:id="146" w:name="_Toc30340"/>
      <w:bookmarkStart w:id="147" w:name="_Toc11134"/>
      <w:bookmarkStart w:id="148" w:name="_Toc11599"/>
      <w:bookmarkStart w:id="149" w:name="_Toc17175"/>
      <w:bookmarkStart w:id="150" w:name="_Toc10696"/>
      <w:bookmarkStart w:id="151" w:name="_Toc1929"/>
      <w:bookmarkStart w:id="152" w:name="_Toc15605"/>
      <w:r>
        <w:rPr>
          <w:rFonts w:hint="eastAsia" w:ascii="宋体" w:hAnsi="宋体" w:eastAsia="宋体" w:cs="宋体"/>
          <w:b/>
          <w:bCs/>
          <w:color w:val="000000" w:themeColor="text1"/>
          <w:sz w:val="21"/>
          <w:szCs w:val="21"/>
          <w:highlight w:val="none"/>
          <w14:textFill>
            <w14:solidFill>
              <w14:schemeClr w14:val="tx1"/>
            </w14:solidFill>
          </w14:textFill>
        </w:rPr>
        <w:t>2、创新</w:t>
      </w:r>
      <w:bookmarkEnd w:id="141"/>
      <w:r>
        <w:rPr>
          <w:rFonts w:hint="eastAsia" w:ascii="宋体" w:hAnsi="宋体" w:eastAsia="宋体" w:cs="宋体"/>
          <w:b/>
          <w:bCs/>
          <w:color w:val="000000" w:themeColor="text1"/>
          <w:sz w:val="21"/>
          <w:szCs w:val="21"/>
          <w:highlight w:val="none"/>
          <w14:textFill>
            <w14:solidFill>
              <w14:schemeClr w14:val="tx1"/>
            </w14:solidFill>
          </w14:textFill>
        </w:rPr>
        <w:t>机制不畅</w:t>
      </w:r>
      <w:bookmarkEnd w:id="142"/>
      <w:bookmarkEnd w:id="143"/>
      <w:bookmarkEnd w:id="144"/>
      <w:bookmarkEnd w:id="145"/>
      <w:bookmarkEnd w:id="146"/>
      <w:bookmarkEnd w:id="147"/>
      <w:bookmarkEnd w:id="148"/>
      <w:bookmarkEnd w:id="149"/>
      <w:bookmarkEnd w:id="150"/>
      <w:bookmarkEnd w:id="151"/>
      <w:bookmarkEnd w:id="152"/>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行业中小企业多，研发投入普遍不足。企业依靠自身力量的研究成果和新产品不多，具有自主知识产权的塑料制品少。有的企业把技术进步依托在购买和引进上，长期未能立足于自主研发。创新环境不宽松，创新机制不畅，创新成果转化慢，高端科技人才短缺，行业整体创新能力相对较弱。</w:t>
      </w:r>
    </w:p>
    <w:p>
      <w:pPr>
        <w:pStyle w:val="5"/>
        <w:ind w:firstLine="643"/>
        <w:rPr>
          <w:rFonts w:hint="eastAsia" w:ascii="宋体" w:hAnsi="宋体" w:eastAsia="宋体" w:cs="宋体"/>
          <w:color w:val="000000" w:themeColor="text1"/>
          <w:sz w:val="21"/>
          <w:szCs w:val="21"/>
          <w:highlight w:val="none"/>
          <w14:textFill>
            <w14:solidFill>
              <w14:schemeClr w14:val="tx1"/>
            </w14:solidFill>
          </w14:textFill>
        </w:rPr>
      </w:pPr>
      <w:bookmarkStart w:id="153" w:name="_Toc277"/>
      <w:bookmarkStart w:id="154" w:name="_Toc30302"/>
      <w:bookmarkStart w:id="155" w:name="_Toc31408"/>
      <w:bookmarkStart w:id="156" w:name="_Toc18735"/>
      <w:bookmarkStart w:id="157" w:name="_Toc25218"/>
      <w:bookmarkStart w:id="158" w:name="_Toc21202"/>
      <w:bookmarkStart w:id="159" w:name="_Toc10505"/>
      <w:bookmarkStart w:id="160" w:name="_Toc68512839"/>
      <w:bookmarkStart w:id="161" w:name="_Toc5830"/>
      <w:bookmarkStart w:id="162" w:name="_Toc20263"/>
      <w:bookmarkStart w:id="163" w:name="_Toc18304"/>
      <w:bookmarkStart w:id="164" w:name="_Toc5059"/>
      <w:r>
        <w:rPr>
          <w:rFonts w:hint="eastAsia" w:ascii="宋体" w:hAnsi="宋体" w:eastAsia="宋体" w:cs="宋体"/>
          <w:b/>
          <w:bCs/>
          <w:color w:val="000000" w:themeColor="text1"/>
          <w:sz w:val="21"/>
          <w:szCs w:val="21"/>
          <w:highlight w:val="none"/>
          <w14:textFill>
            <w14:solidFill>
              <w14:schemeClr w14:val="tx1"/>
            </w14:solidFill>
          </w14:textFill>
        </w:rPr>
        <w:t>3、总体装备水平与先进国家仍有差距</w:t>
      </w:r>
      <w:bookmarkEnd w:id="153"/>
      <w:bookmarkEnd w:id="154"/>
      <w:bookmarkEnd w:id="155"/>
      <w:bookmarkEnd w:id="156"/>
      <w:bookmarkEnd w:id="157"/>
      <w:bookmarkEnd w:id="158"/>
      <w:bookmarkEnd w:id="159"/>
      <w:bookmarkEnd w:id="160"/>
      <w:bookmarkEnd w:id="161"/>
      <w:bookmarkEnd w:id="162"/>
      <w:bookmarkEnd w:id="163"/>
      <w:bookmarkEnd w:id="164"/>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技术改造步伐加快，不断更新先进设备，大大提升了行业的整体装备水平，但国产加工装备、模具与先进国家在精度、稳定、效能等方面尚有差距，跟不上发展需求，仍然存在装备水平偏低、工艺技术相对落后的问题。</w:t>
      </w:r>
    </w:p>
    <w:p>
      <w:pPr>
        <w:pStyle w:val="5"/>
        <w:ind w:firstLine="643"/>
        <w:rPr>
          <w:rFonts w:hint="eastAsia" w:ascii="宋体" w:hAnsi="宋体" w:eastAsia="宋体" w:cs="宋体"/>
          <w:b/>
          <w:bCs/>
          <w:color w:val="000000" w:themeColor="text1"/>
          <w:sz w:val="21"/>
          <w:szCs w:val="21"/>
          <w:highlight w:val="none"/>
          <w14:textFill>
            <w14:solidFill>
              <w14:schemeClr w14:val="tx1"/>
            </w14:solidFill>
          </w14:textFill>
        </w:rPr>
      </w:pPr>
      <w:bookmarkStart w:id="165" w:name="_Toc31575"/>
      <w:bookmarkStart w:id="166" w:name="_Toc16653"/>
      <w:bookmarkStart w:id="167" w:name="_Toc16622"/>
      <w:bookmarkStart w:id="168" w:name="_Toc5560"/>
      <w:bookmarkStart w:id="169" w:name="_Toc13910"/>
      <w:bookmarkStart w:id="170" w:name="_Toc68512840"/>
      <w:bookmarkStart w:id="171" w:name="_Toc3033"/>
      <w:bookmarkStart w:id="172" w:name="_Toc21789"/>
      <w:bookmarkStart w:id="173" w:name="_Toc5241"/>
      <w:bookmarkStart w:id="174" w:name="_Toc7301"/>
      <w:bookmarkStart w:id="175" w:name="_Toc18830"/>
      <w:bookmarkStart w:id="176" w:name="_Toc15640"/>
      <w:r>
        <w:rPr>
          <w:rFonts w:hint="eastAsia" w:ascii="宋体" w:hAnsi="宋体" w:eastAsia="宋体" w:cs="宋体"/>
          <w:b/>
          <w:bCs/>
          <w:color w:val="000000" w:themeColor="text1"/>
          <w:sz w:val="21"/>
          <w:szCs w:val="21"/>
          <w:highlight w:val="none"/>
          <w14:textFill>
            <w14:solidFill>
              <w14:schemeClr w14:val="tx1"/>
            </w14:solidFill>
          </w14:textFill>
        </w:rPr>
        <w:t>4、产业结构不尽合理</w:t>
      </w:r>
      <w:bookmarkEnd w:id="165"/>
      <w:bookmarkEnd w:id="166"/>
      <w:bookmarkEnd w:id="167"/>
      <w:bookmarkEnd w:id="168"/>
      <w:bookmarkEnd w:id="169"/>
      <w:bookmarkEnd w:id="170"/>
      <w:bookmarkEnd w:id="171"/>
      <w:bookmarkEnd w:id="172"/>
      <w:bookmarkEnd w:id="173"/>
      <w:bookmarkEnd w:id="174"/>
      <w:bookmarkEnd w:id="175"/>
      <w:bookmarkEnd w:id="176"/>
    </w:p>
    <w:p>
      <w:pPr>
        <w:ind w:firstLine="420" w:firstLineChars="200"/>
        <w:rPr>
          <w:rFonts w:hint="eastAsia" w:ascii="宋体" w:hAnsi="宋体" w:eastAsia="宋体" w:cs="宋体"/>
          <w:b/>
          <w:bCs/>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产业结构调整得到加强，但低端产品结构性过剩问题仍突出，低端产品价格战压缩了利润空间，高技术含量产品不多且不能满足需求，相当先进技术产品仍需进口。</w:t>
      </w:r>
      <w:bookmarkStart w:id="177" w:name="_Toc19703"/>
      <w:bookmarkStart w:id="178" w:name="_Toc24384"/>
      <w:bookmarkStart w:id="179" w:name="_Toc23149"/>
      <w:bookmarkStart w:id="180" w:name="_Toc68512841"/>
      <w:bookmarkStart w:id="181" w:name="_Toc19886"/>
      <w:bookmarkStart w:id="182" w:name="_Toc4822"/>
      <w:bookmarkStart w:id="183" w:name="_Toc863"/>
      <w:bookmarkStart w:id="184" w:name="_Toc5248"/>
      <w:bookmarkStart w:id="185" w:name="_Toc4516"/>
      <w:bookmarkStart w:id="186" w:name="_Toc31267"/>
    </w:p>
    <w:p>
      <w:pPr>
        <w:pStyle w:val="5"/>
        <w:ind w:firstLine="643"/>
        <w:rPr>
          <w:rFonts w:hint="eastAsia" w:ascii="宋体" w:hAnsi="宋体" w:eastAsia="宋体" w:cs="宋体"/>
          <w:b/>
          <w:bCs/>
          <w:color w:val="000000" w:themeColor="text1"/>
          <w:sz w:val="21"/>
          <w:szCs w:val="21"/>
          <w:highlight w:val="none"/>
          <w14:textFill>
            <w14:solidFill>
              <w14:schemeClr w14:val="tx1"/>
            </w14:solidFill>
          </w14:textFill>
        </w:rPr>
      </w:pPr>
      <w:bookmarkStart w:id="187" w:name="_Toc20472"/>
      <w:bookmarkStart w:id="188" w:name="_Toc15628"/>
      <w:r>
        <w:rPr>
          <w:rFonts w:hint="eastAsia" w:ascii="宋体" w:hAnsi="宋体" w:eastAsia="宋体" w:cs="宋体"/>
          <w:b/>
          <w:bCs/>
          <w:color w:val="000000" w:themeColor="text1"/>
          <w:sz w:val="21"/>
          <w:szCs w:val="21"/>
          <w:highlight w:val="none"/>
          <w14:textFill>
            <w14:solidFill>
              <w14:schemeClr w14:val="tx1"/>
            </w14:solidFill>
          </w14:textFill>
        </w:rPr>
        <w:t>5、</w:t>
      </w:r>
      <w:bookmarkEnd w:id="177"/>
      <w:bookmarkEnd w:id="178"/>
      <w:bookmarkEnd w:id="179"/>
      <w:bookmarkEnd w:id="180"/>
      <w:bookmarkEnd w:id="181"/>
      <w:bookmarkEnd w:id="182"/>
      <w:bookmarkEnd w:id="183"/>
      <w:bookmarkEnd w:id="184"/>
      <w:bookmarkEnd w:id="185"/>
      <w:bookmarkEnd w:id="186"/>
      <w:r>
        <w:rPr>
          <w:rFonts w:hint="eastAsia" w:ascii="宋体" w:hAnsi="宋体" w:eastAsia="宋体" w:cs="宋体"/>
          <w:b/>
          <w:bCs/>
          <w:color w:val="000000" w:themeColor="text1"/>
          <w:sz w:val="21"/>
          <w:szCs w:val="21"/>
          <w:highlight w:val="none"/>
          <w14:textFill>
            <w14:solidFill>
              <w14:schemeClr w14:val="tx1"/>
            </w14:solidFill>
          </w14:textFill>
        </w:rPr>
        <w:t>出口难度和风险加大</w:t>
      </w:r>
      <w:bookmarkEnd w:id="187"/>
      <w:bookmarkEnd w:id="188"/>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我国塑料制品具有国际市场竞争优势，在国际市场占有较高份额，但由于国际贸易保护主义抬头，技术壁垒和贸易摩擦呈现出常态化特征，出口型企业产品出口难度和风险加大。</w:t>
      </w:r>
      <w:bookmarkStart w:id="189" w:name="_Toc68512842"/>
      <w:bookmarkStart w:id="190" w:name="_Toc25754"/>
      <w:bookmarkStart w:id="191" w:name="_Toc1964"/>
      <w:bookmarkStart w:id="192" w:name="_Toc13725"/>
      <w:bookmarkStart w:id="193" w:name="_Toc31766"/>
      <w:bookmarkStart w:id="194" w:name="_Toc4930"/>
      <w:bookmarkStart w:id="195" w:name="_Toc29534"/>
      <w:bookmarkStart w:id="196" w:name="_Toc17011"/>
      <w:bookmarkStart w:id="197" w:name="_Toc11827"/>
      <w:bookmarkStart w:id="198" w:name="_Toc7636"/>
    </w:p>
    <w:p>
      <w:pPr>
        <w:pStyle w:val="3"/>
        <w:rPr>
          <w:rFonts w:hint="eastAsia" w:ascii="宋体" w:hAnsi="宋体" w:eastAsia="宋体" w:cs="宋体"/>
          <w:b w:val="0"/>
          <w:bCs w:val="0"/>
          <w:color w:val="000000" w:themeColor="text1"/>
          <w:sz w:val="21"/>
          <w:szCs w:val="21"/>
          <w:highlight w:val="none"/>
          <w14:textFill>
            <w14:solidFill>
              <w14:schemeClr w14:val="tx1"/>
            </w14:solidFill>
          </w14:textFill>
        </w:rPr>
      </w:pPr>
      <w:bookmarkStart w:id="199" w:name="_Toc19939"/>
      <w:bookmarkStart w:id="200" w:name="_Toc11938"/>
      <w:bookmarkStart w:id="201" w:name="_Toc2193"/>
      <w:bookmarkStart w:id="202" w:name="_Toc31178"/>
      <w:r>
        <w:rPr>
          <w:rFonts w:hint="eastAsia" w:ascii="宋体" w:hAnsi="宋体" w:eastAsia="宋体" w:cs="宋体"/>
          <w:b w:val="0"/>
          <w:bCs w:val="0"/>
          <w:color w:val="000000" w:themeColor="text1"/>
          <w:sz w:val="21"/>
          <w:szCs w:val="21"/>
          <w:highlight w:val="none"/>
          <w14:textFill>
            <w14:solidFill>
              <w14:schemeClr w14:val="tx1"/>
            </w14:solidFill>
          </w14:textFill>
        </w:rPr>
        <w:t>二、塑料加工业“十四五”面临的机遇与挑战</w:t>
      </w:r>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十四五”世界百年未有之大变局深度演化，与我国社会主义现代化建设新征程相互交融，中国特色社会主义进入新时代，高质量发展成为经济社会发展的主基调。塑料行业的外部环境和内部条件发生深刻变化，机遇与挑战并存。</w:t>
      </w:r>
    </w:p>
    <w:p>
      <w:pPr>
        <w:pStyle w:val="4"/>
        <w:rPr>
          <w:rFonts w:hint="eastAsia" w:ascii="宋体" w:hAnsi="宋体" w:eastAsia="宋体" w:cs="宋体"/>
          <w:color w:val="000000" w:themeColor="text1"/>
          <w:sz w:val="21"/>
          <w:szCs w:val="21"/>
          <w:highlight w:val="none"/>
          <w14:textFill>
            <w14:solidFill>
              <w14:schemeClr w14:val="tx1"/>
            </w14:solidFill>
          </w14:textFill>
        </w:rPr>
      </w:pPr>
      <w:bookmarkStart w:id="203" w:name="_Toc13657"/>
      <w:bookmarkStart w:id="204" w:name="_Toc27783"/>
      <w:bookmarkStart w:id="205" w:name="_Toc16821"/>
      <w:bookmarkStart w:id="206" w:name="_Toc14196"/>
      <w:bookmarkStart w:id="207" w:name="_Toc22204"/>
      <w:bookmarkStart w:id="208" w:name="_Toc12575"/>
      <w:bookmarkStart w:id="209" w:name="_Toc6140"/>
      <w:bookmarkStart w:id="210" w:name="_Toc32603"/>
      <w:bookmarkStart w:id="211" w:name="_Toc12277"/>
      <w:bookmarkStart w:id="212" w:name="_Toc1175"/>
      <w:bookmarkStart w:id="213" w:name="_Toc68512843"/>
      <w:bookmarkStart w:id="214" w:name="_Toc8868"/>
      <w:bookmarkStart w:id="215" w:name="_Toc11398"/>
      <w:bookmarkStart w:id="216" w:name="_Toc15469"/>
      <w:r>
        <w:rPr>
          <w:rFonts w:hint="eastAsia" w:ascii="宋体" w:hAnsi="宋体" w:eastAsia="宋体" w:cs="宋体"/>
          <w:color w:val="000000" w:themeColor="text1"/>
          <w:sz w:val="21"/>
          <w:szCs w:val="21"/>
          <w:highlight w:val="none"/>
          <w14:textFill>
            <w14:solidFill>
              <w14:schemeClr w14:val="tx1"/>
            </w14:solidFill>
          </w14:textFill>
        </w:rPr>
        <w:t>（一）机遇</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pPr>
        <w:pStyle w:val="5"/>
        <w:ind w:firstLine="643"/>
        <w:rPr>
          <w:rFonts w:hint="eastAsia" w:ascii="宋体" w:hAnsi="宋体" w:eastAsia="宋体" w:cs="宋体"/>
          <w:b/>
          <w:bCs/>
          <w:color w:val="000000" w:themeColor="text1"/>
          <w:sz w:val="21"/>
          <w:szCs w:val="21"/>
          <w:highlight w:val="none"/>
          <w14:textFill>
            <w14:solidFill>
              <w14:schemeClr w14:val="tx1"/>
            </w14:solidFill>
          </w14:textFill>
        </w:rPr>
      </w:pPr>
      <w:bookmarkStart w:id="217" w:name="_Toc17795"/>
      <w:bookmarkStart w:id="218" w:name="_Toc29297"/>
      <w:bookmarkStart w:id="219" w:name="_Toc10643"/>
      <w:bookmarkStart w:id="220" w:name="_Toc68512844"/>
      <w:bookmarkStart w:id="221" w:name="_Toc15674"/>
      <w:bookmarkStart w:id="222" w:name="_Toc13765"/>
      <w:bookmarkStart w:id="223" w:name="_Toc52385163"/>
      <w:bookmarkStart w:id="224" w:name="_Toc13215"/>
      <w:bookmarkStart w:id="225" w:name="_Toc10920"/>
      <w:bookmarkStart w:id="226" w:name="_Toc25784"/>
      <w:bookmarkStart w:id="227" w:name="_Toc22815"/>
      <w:bookmarkStart w:id="228" w:name="_Toc8240"/>
      <w:bookmarkStart w:id="229" w:name="_Toc26471"/>
      <w:bookmarkStart w:id="230" w:name="_Toc28973"/>
      <w:bookmarkStart w:id="231" w:name="_Toc15839"/>
      <w:r>
        <w:rPr>
          <w:rFonts w:hint="eastAsia" w:ascii="宋体" w:hAnsi="宋体" w:eastAsia="宋体" w:cs="宋体"/>
          <w:b/>
          <w:bCs/>
          <w:color w:val="000000" w:themeColor="text1"/>
          <w:sz w:val="21"/>
          <w:szCs w:val="21"/>
          <w:highlight w:val="none"/>
          <w14:textFill>
            <w14:solidFill>
              <w14:schemeClr w14:val="tx1"/>
            </w14:solidFill>
          </w14:textFill>
        </w:rPr>
        <w:t>1、科技革命和产业变革将推动塑料加工业加快转型发展</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新一轮科技革命和产业变革深入发展，与我国制造业转型升级形成历史性交汇。5G通讯技术、物联网、大数据、高档数控机床、工业机器人、智能仪器仪表等新一代技术装备的应用，将推动塑料加工业制造技术快速、跨越式发展。同时，网络协同制造、个性化定制、共享制造等新业态、新模式会不断涌现，“十四五”期间塑料加工业先进生产力必定依托于科技创新，与塑料行业相关的新产业、新业态、新技术和新模式会不断涌现，为行业进一步跨界融合、生态化、人工智能、网络化信息技术创新发展带来新机遇。</w:t>
      </w:r>
    </w:p>
    <w:p>
      <w:pPr>
        <w:pStyle w:val="5"/>
        <w:ind w:firstLine="643"/>
        <w:rPr>
          <w:rFonts w:hint="eastAsia" w:ascii="宋体" w:hAnsi="宋体" w:eastAsia="宋体" w:cs="宋体"/>
          <w:color w:val="000000" w:themeColor="text1"/>
          <w:sz w:val="21"/>
          <w:szCs w:val="21"/>
          <w:highlight w:val="none"/>
          <w14:textFill>
            <w14:solidFill>
              <w14:schemeClr w14:val="tx1"/>
            </w14:solidFill>
          </w14:textFill>
        </w:rPr>
      </w:pPr>
      <w:bookmarkStart w:id="232" w:name="_Toc52385164"/>
      <w:bookmarkStart w:id="233" w:name="_Toc18882"/>
      <w:bookmarkStart w:id="234" w:name="_Toc23098"/>
      <w:bookmarkStart w:id="235" w:name="_Toc32311"/>
      <w:bookmarkStart w:id="236" w:name="_Toc20091"/>
      <w:bookmarkStart w:id="237" w:name="_Toc29066"/>
      <w:bookmarkStart w:id="238" w:name="_Toc19333"/>
      <w:bookmarkStart w:id="239" w:name="_Toc7355"/>
      <w:bookmarkStart w:id="240" w:name="_Toc30721"/>
      <w:bookmarkStart w:id="241" w:name="_Toc68512845"/>
      <w:bookmarkStart w:id="242" w:name="_Toc3888"/>
      <w:bookmarkStart w:id="243" w:name="_Toc8541"/>
      <w:bookmarkStart w:id="244" w:name="_Toc11532"/>
      <w:bookmarkStart w:id="245" w:name="_Toc571"/>
      <w:bookmarkStart w:id="246" w:name="_Toc424"/>
      <w:r>
        <w:rPr>
          <w:rFonts w:hint="eastAsia" w:ascii="宋体" w:hAnsi="宋体" w:eastAsia="宋体" w:cs="宋体"/>
          <w:b/>
          <w:bCs/>
          <w:color w:val="000000" w:themeColor="text1"/>
          <w:sz w:val="21"/>
          <w:szCs w:val="21"/>
          <w:highlight w:val="none"/>
          <w14:textFill>
            <w14:solidFill>
              <w14:schemeClr w14:val="tx1"/>
            </w14:solidFill>
          </w14:textFill>
        </w:rPr>
        <w:t>2、</w:t>
      </w:r>
      <w:bookmarkEnd w:id="232"/>
      <w:r>
        <w:rPr>
          <w:rFonts w:hint="eastAsia" w:ascii="宋体" w:hAnsi="宋体" w:eastAsia="宋体" w:cs="宋体"/>
          <w:b/>
          <w:bCs/>
          <w:color w:val="000000" w:themeColor="text1"/>
          <w:sz w:val="21"/>
          <w:szCs w:val="21"/>
          <w:highlight w:val="none"/>
          <w14:textFill>
            <w14:solidFill>
              <w14:schemeClr w14:val="tx1"/>
            </w14:solidFill>
          </w14:textFill>
        </w:rPr>
        <w:t>新发展格局将促进</w:t>
      </w:r>
      <w:bookmarkEnd w:id="233"/>
      <w:bookmarkEnd w:id="234"/>
      <w:bookmarkEnd w:id="235"/>
      <w:r>
        <w:rPr>
          <w:rFonts w:hint="eastAsia" w:ascii="宋体" w:hAnsi="宋体" w:eastAsia="宋体" w:cs="宋体"/>
          <w:b/>
          <w:bCs/>
          <w:color w:val="000000" w:themeColor="text1"/>
          <w:sz w:val="21"/>
          <w:szCs w:val="21"/>
          <w:highlight w:val="none"/>
          <w14:textFill>
            <w14:solidFill>
              <w14:schemeClr w14:val="tx1"/>
            </w14:solidFill>
          </w14:textFill>
        </w:rPr>
        <w:t>产品与产业结构趋向合理</w:t>
      </w:r>
      <w:bookmarkEnd w:id="236"/>
      <w:bookmarkEnd w:id="237"/>
      <w:bookmarkEnd w:id="238"/>
      <w:bookmarkEnd w:id="239"/>
      <w:bookmarkEnd w:id="240"/>
      <w:bookmarkEnd w:id="241"/>
      <w:bookmarkEnd w:id="242"/>
      <w:bookmarkEnd w:id="243"/>
      <w:bookmarkEnd w:id="244"/>
      <w:bookmarkEnd w:id="245"/>
      <w:bookmarkEnd w:id="246"/>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随着新型工业化、信息化、城镇化、农业现代化进程的加快，对国内市场会起到需求增长拉动和深化作用，技术创新能力的提升和制度管理创新将会促进塑料相关产业链提质，同时也会不断提升在国际循环中的优势。</w:t>
      </w:r>
    </w:p>
    <w:p>
      <w:pPr>
        <w:pStyle w:val="5"/>
        <w:ind w:firstLine="643"/>
        <w:rPr>
          <w:rFonts w:hint="eastAsia" w:ascii="宋体" w:hAnsi="宋体" w:eastAsia="宋体" w:cs="宋体"/>
          <w:color w:val="000000" w:themeColor="text1"/>
          <w:sz w:val="21"/>
          <w:szCs w:val="21"/>
          <w:highlight w:val="none"/>
          <w14:textFill>
            <w14:solidFill>
              <w14:schemeClr w14:val="tx1"/>
            </w14:solidFill>
          </w14:textFill>
        </w:rPr>
      </w:pPr>
      <w:bookmarkStart w:id="247" w:name="_Toc23603"/>
      <w:bookmarkStart w:id="248" w:name="_Toc10607"/>
      <w:bookmarkStart w:id="249" w:name="_Toc31734"/>
      <w:bookmarkStart w:id="250" w:name="_Toc23661"/>
      <w:bookmarkStart w:id="251" w:name="_Toc8143"/>
      <w:bookmarkStart w:id="252" w:name="_Toc14217"/>
      <w:bookmarkStart w:id="253" w:name="_Toc28696"/>
      <w:bookmarkStart w:id="254" w:name="_Toc21115"/>
      <w:bookmarkStart w:id="255" w:name="_Toc6476"/>
      <w:bookmarkStart w:id="256" w:name="_Toc20863"/>
      <w:bookmarkStart w:id="257" w:name="_Toc68512846"/>
      <w:bookmarkStart w:id="258" w:name="_Toc1107"/>
      <w:bookmarkStart w:id="259" w:name="_Toc2414"/>
      <w:bookmarkStart w:id="260" w:name="_Toc12643"/>
      <w:bookmarkStart w:id="261" w:name="_Toc52385166"/>
      <w:r>
        <w:rPr>
          <w:rFonts w:hint="eastAsia" w:ascii="宋体" w:hAnsi="宋体" w:eastAsia="宋体" w:cs="宋体"/>
          <w:b/>
          <w:bCs/>
          <w:color w:val="000000" w:themeColor="text1"/>
          <w:sz w:val="21"/>
          <w:szCs w:val="21"/>
          <w:highlight w:val="none"/>
          <w14:textFill>
            <w14:solidFill>
              <w14:schemeClr w14:val="tx1"/>
            </w14:solidFill>
          </w14:textFill>
        </w:rPr>
        <w:t>3、超大规模市场优势将拓展塑料加工行业应用领域</w:t>
      </w:r>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bookmarkEnd w:id="261"/>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新型基础设施、新型城镇化和重大项目等举国之力的超大规模市场需求优势，拥有广阔发展空间，与塑料加工业密切相关，应会促进塑料制品需求增长。此外，雄安新区、海南自贸区、粤港澳大湾区建设、长江经济带发展等区域建设也将带动相关地区塑料产业发展，为塑料加工业提供了更加广阔市场空间。</w:t>
      </w:r>
    </w:p>
    <w:p>
      <w:pPr>
        <w:pStyle w:val="5"/>
        <w:ind w:firstLine="643"/>
        <w:rPr>
          <w:rFonts w:hint="eastAsia" w:ascii="宋体" w:hAnsi="宋体" w:eastAsia="宋体" w:cs="宋体"/>
          <w:b/>
          <w:bCs/>
          <w:color w:val="000000" w:themeColor="text1"/>
          <w:sz w:val="21"/>
          <w:szCs w:val="21"/>
          <w:highlight w:val="none"/>
          <w14:textFill>
            <w14:solidFill>
              <w14:schemeClr w14:val="tx1"/>
            </w14:solidFill>
          </w14:textFill>
        </w:rPr>
      </w:pPr>
      <w:bookmarkStart w:id="262" w:name="_Toc52385167"/>
      <w:bookmarkStart w:id="263" w:name="_Toc19140"/>
      <w:bookmarkStart w:id="264" w:name="_Toc68512847"/>
      <w:bookmarkStart w:id="265" w:name="_Toc25556"/>
      <w:bookmarkStart w:id="266" w:name="_Toc18550"/>
      <w:bookmarkStart w:id="267" w:name="_Toc24330"/>
      <w:bookmarkStart w:id="268" w:name="_Toc32378"/>
      <w:bookmarkStart w:id="269" w:name="_Toc7733"/>
      <w:bookmarkStart w:id="270" w:name="_Toc4247"/>
      <w:bookmarkStart w:id="271" w:name="_Toc29674"/>
      <w:bookmarkStart w:id="272" w:name="_Toc18809"/>
      <w:bookmarkStart w:id="273" w:name="_Toc9874"/>
      <w:bookmarkStart w:id="274" w:name="_Toc4749"/>
      <w:bookmarkStart w:id="275" w:name="_Toc8508"/>
      <w:bookmarkStart w:id="276" w:name="_Toc30367"/>
      <w:r>
        <w:rPr>
          <w:rFonts w:hint="eastAsia" w:ascii="宋体" w:hAnsi="宋体" w:eastAsia="宋体" w:cs="宋体"/>
          <w:b/>
          <w:bCs/>
          <w:color w:val="000000" w:themeColor="text1"/>
          <w:sz w:val="21"/>
          <w:szCs w:val="21"/>
          <w:highlight w:val="none"/>
          <w14:textFill>
            <w14:solidFill>
              <w14:schemeClr w14:val="tx1"/>
            </w14:solidFill>
          </w14:textFill>
        </w:rPr>
        <w:t>4、提质升级的消费市场</w:t>
      </w:r>
      <w:bookmarkEnd w:id="262"/>
      <w:r>
        <w:rPr>
          <w:rFonts w:hint="eastAsia" w:ascii="宋体" w:hAnsi="宋体" w:eastAsia="宋体" w:cs="宋体"/>
          <w:b/>
          <w:bCs/>
          <w:color w:val="000000" w:themeColor="text1"/>
          <w:sz w:val="21"/>
          <w:szCs w:val="21"/>
          <w:highlight w:val="none"/>
          <w14:textFill>
            <w14:solidFill>
              <w14:schemeClr w14:val="tx1"/>
            </w14:solidFill>
          </w14:textFill>
        </w:rPr>
        <w:t>将促进塑料行业进步</w:t>
      </w:r>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消费对经济增长的拉动作用正进一步强化，消费市场升级呈现新的趋势。消费结构向发展型升级，优质产品需求旺盛，同时随着我国由“制造大国”进入“消费大国”，消费者对高品质制品的需求激增，会助力塑料制品行业向高品质提升。</w:t>
      </w:r>
    </w:p>
    <w:p>
      <w:pPr>
        <w:pStyle w:val="5"/>
        <w:ind w:firstLine="643"/>
        <w:rPr>
          <w:rFonts w:hint="eastAsia" w:ascii="宋体" w:hAnsi="宋体" w:eastAsia="宋体" w:cs="宋体"/>
          <w:color w:val="000000" w:themeColor="text1"/>
          <w:sz w:val="21"/>
          <w:szCs w:val="21"/>
          <w:highlight w:val="none"/>
          <w14:textFill>
            <w14:solidFill>
              <w14:schemeClr w14:val="tx1"/>
            </w14:solidFill>
          </w14:textFill>
        </w:rPr>
      </w:pPr>
      <w:bookmarkStart w:id="277" w:name="_Toc25649"/>
      <w:bookmarkStart w:id="278" w:name="_Toc25245"/>
      <w:bookmarkStart w:id="279" w:name="_Toc20592"/>
      <w:bookmarkStart w:id="280" w:name="_Toc29004"/>
      <w:bookmarkStart w:id="281" w:name="_Toc29408"/>
      <w:bookmarkStart w:id="282" w:name="_Toc30894"/>
      <w:bookmarkStart w:id="283" w:name="_Toc22202"/>
      <w:bookmarkStart w:id="284" w:name="_Toc30618"/>
      <w:bookmarkStart w:id="285" w:name="_Toc68512848"/>
      <w:bookmarkStart w:id="286" w:name="_Toc5325"/>
      <w:bookmarkStart w:id="287" w:name="_Toc18381"/>
      <w:bookmarkStart w:id="288" w:name="_Toc10135"/>
      <w:bookmarkStart w:id="289" w:name="_Toc5600"/>
      <w:bookmarkStart w:id="290" w:name="_Toc6288"/>
      <w:r>
        <w:rPr>
          <w:rFonts w:hint="eastAsia" w:ascii="宋体" w:hAnsi="宋体" w:eastAsia="宋体" w:cs="宋体"/>
          <w:b/>
          <w:bCs/>
          <w:color w:val="000000" w:themeColor="text1"/>
          <w:sz w:val="21"/>
          <w:szCs w:val="21"/>
          <w:highlight w:val="none"/>
          <w14:textFill>
            <w14:solidFill>
              <w14:schemeClr w14:val="tx1"/>
            </w14:solidFill>
          </w14:textFill>
        </w:rPr>
        <w:t>5、</w:t>
      </w:r>
      <w:bookmarkEnd w:id="277"/>
      <w:bookmarkEnd w:id="278"/>
      <w:bookmarkEnd w:id="279"/>
      <w:bookmarkEnd w:id="280"/>
      <w:r>
        <w:rPr>
          <w:rFonts w:hint="eastAsia" w:ascii="宋体" w:hAnsi="宋体" w:eastAsia="宋体" w:cs="宋体"/>
          <w:b/>
          <w:bCs/>
          <w:color w:val="000000" w:themeColor="text1"/>
          <w:sz w:val="21"/>
          <w:szCs w:val="21"/>
          <w:highlight w:val="none"/>
          <w14:textFill>
            <w14:solidFill>
              <w14:schemeClr w14:val="tx1"/>
            </w14:solidFill>
          </w14:textFill>
        </w:rPr>
        <w:t>高标准市场体系建设将推动自主创新进一步发展</w:t>
      </w:r>
      <w:bookmarkEnd w:id="281"/>
      <w:bookmarkEnd w:id="282"/>
      <w:bookmarkEnd w:id="283"/>
      <w:bookmarkEnd w:id="284"/>
      <w:bookmarkEnd w:id="285"/>
      <w:bookmarkEnd w:id="286"/>
      <w:bookmarkEnd w:id="287"/>
      <w:bookmarkEnd w:id="288"/>
      <w:bookmarkEnd w:id="289"/>
      <w:bookmarkEnd w:id="290"/>
    </w:p>
    <w:p>
      <w:pPr>
        <w:pStyle w:val="14"/>
        <w:shd w:val="clear" w:color="auto" w:fill="FFFFFF"/>
        <w:spacing w:before="0" w:beforeAutospacing="0" w:after="0" w:afterAutospacing="0"/>
        <w:ind w:firstLine="420" w:firstLineChars="200"/>
        <w:jc w:val="both"/>
        <w:rPr>
          <w:rFonts w:hint="eastAsia" w:ascii="宋体" w:hAnsi="宋体" w:eastAsia="宋体" w:cs="宋体"/>
          <w:color w:val="000000" w:themeColor="text1"/>
          <w:kern w:val="2"/>
          <w:sz w:val="21"/>
          <w:szCs w:val="21"/>
          <w:highlight w:val="none"/>
          <w14:textFill>
            <w14:solidFill>
              <w14:schemeClr w14:val="tx1"/>
            </w14:solidFill>
          </w14:textFill>
        </w:rPr>
      </w:pPr>
      <w:r>
        <w:rPr>
          <w:rFonts w:hint="eastAsia" w:ascii="宋体" w:hAnsi="宋体" w:eastAsia="宋体" w:cs="宋体"/>
          <w:color w:val="000000" w:themeColor="text1"/>
          <w:kern w:val="2"/>
          <w:sz w:val="21"/>
          <w:szCs w:val="21"/>
          <w:highlight w:val="none"/>
          <w14:textFill>
            <w14:solidFill>
              <w14:schemeClr w14:val="tx1"/>
            </w14:solidFill>
          </w14:textFill>
        </w:rPr>
        <w:t>国家高标准市场体系建立的进一步加强，将会深化行业供给侧结构性改革，推动引领创造新需求能力的提升，促进自主创新在新形势下的进一步发展。通过加大自主研发投入、专利保护等，提升企业自主创新能力，提升自主品牌影响力和竞争力。</w:t>
      </w:r>
    </w:p>
    <w:p>
      <w:pPr>
        <w:pStyle w:val="4"/>
        <w:rPr>
          <w:rFonts w:hint="eastAsia" w:ascii="宋体" w:hAnsi="宋体" w:eastAsia="宋体" w:cs="宋体"/>
          <w:color w:val="000000" w:themeColor="text1"/>
          <w:sz w:val="21"/>
          <w:szCs w:val="21"/>
          <w:highlight w:val="none"/>
          <w14:textFill>
            <w14:solidFill>
              <w14:schemeClr w14:val="tx1"/>
            </w14:solidFill>
          </w14:textFill>
        </w:rPr>
      </w:pPr>
      <w:bookmarkStart w:id="291" w:name="_Toc11653"/>
      <w:bookmarkStart w:id="292" w:name="_Toc24640"/>
      <w:bookmarkStart w:id="293" w:name="_Toc23201"/>
      <w:bookmarkStart w:id="294" w:name="_Toc8084"/>
      <w:bookmarkStart w:id="295" w:name="_Toc8404"/>
      <w:bookmarkStart w:id="296" w:name="_Toc68512849"/>
      <w:bookmarkStart w:id="297" w:name="_Toc3699"/>
      <w:bookmarkStart w:id="298" w:name="_Toc30719"/>
      <w:bookmarkStart w:id="299" w:name="_Toc1303"/>
      <w:bookmarkStart w:id="300" w:name="_Toc4314"/>
      <w:bookmarkStart w:id="301" w:name="_Toc25659"/>
      <w:bookmarkStart w:id="302" w:name="_Toc28024"/>
      <w:bookmarkStart w:id="303" w:name="_Toc15208"/>
      <w:bookmarkStart w:id="304" w:name="_Toc20738"/>
      <w:r>
        <w:rPr>
          <w:rFonts w:hint="eastAsia" w:ascii="宋体" w:hAnsi="宋体" w:eastAsia="宋体" w:cs="宋体"/>
          <w:color w:val="000000" w:themeColor="text1"/>
          <w:sz w:val="21"/>
          <w:szCs w:val="21"/>
          <w:highlight w:val="none"/>
          <w14:textFill>
            <w14:solidFill>
              <w14:schemeClr w14:val="tx1"/>
            </w14:solidFill>
          </w14:textFill>
        </w:rPr>
        <w:t>（二）挑战</w:t>
      </w:r>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原材料价格的剧烈波动、严格并持续性的环保要求、加强废旧塑料污染治理工作等塑料加工业面临的新老问题，给行业持续发展和转型升级带来挑战。在经济新常态下，塑料加工业“十四五”要实现高端化，任务艰巨，面临严峻挑战。一是新一轮科技革命和产业变革浪潮的冲击。二是进入新常态后，塑料加工业面临转变发展方式、优化调结构整、加快产业升级繁重任务的挑战。因此“十四五”是实施创新驱动发展的关键时期，进一步发展难度将明显加大。</w:t>
      </w:r>
    </w:p>
    <w:p>
      <w:pPr>
        <w:pStyle w:val="5"/>
        <w:ind w:firstLine="643"/>
        <w:rPr>
          <w:rFonts w:hint="eastAsia" w:ascii="宋体" w:hAnsi="宋体" w:eastAsia="宋体" w:cs="宋体"/>
          <w:b/>
          <w:bCs/>
          <w:color w:val="000000" w:themeColor="text1"/>
          <w:sz w:val="21"/>
          <w:szCs w:val="21"/>
          <w:highlight w:val="none"/>
          <w14:textFill>
            <w14:solidFill>
              <w14:schemeClr w14:val="tx1"/>
            </w14:solidFill>
          </w14:textFill>
        </w:rPr>
      </w:pPr>
      <w:bookmarkStart w:id="305" w:name="_Toc17158"/>
      <w:bookmarkStart w:id="306" w:name="_Toc26048"/>
      <w:bookmarkStart w:id="307" w:name="_Toc17407"/>
      <w:bookmarkStart w:id="308" w:name="_Toc29908"/>
      <w:bookmarkStart w:id="309" w:name="_Toc26403"/>
      <w:bookmarkStart w:id="310" w:name="_Toc7944"/>
      <w:bookmarkStart w:id="311" w:name="_Toc17381"/>
      <w:bookmarkStart w:id="312" w:name="_Toc29935"/>
      <w:bookmarkStart w:id="313" w:name="_Toc11521"/>
      <w:bookmarkStart w:id="314" w:name="_Toc68512850"/>
      <w:bookmarkStart w:id="315" w:name="_Toc7673"/>
      <w:bookmarkStart w:id="316" w:name="_Toc21925"/>
      <w:bookmarkStart w:id="317" w:name="_Toc2190"/>
      <w:bookmarkStart w:id="318" w:name="_Toc13129"/>
      <w:bookmarkStart w:id="319" w:name="_Toc52385169"/>
      <w:r>
        <w:rPr>
          <w:rFonts w:hint="eastAsia" w:ascii="宋体" w:hAnsi="宋体" w:eastAsia="宋体" w:cs="宋体"/>
          <w:b/>
          <w:bCs/>
          <w:color w:val="000000" w:themeColor="text1"/>
          <w:sz w:val="21"/>
          <w:szCs w:val="21"/>
          <w:highlight w:val="none"/>
          <w14:textFill>
            <w14:solidFill>
              <w14:schemeClr w14:val="tx1"/>
            </w14:solidFill>
          </w14:textFill>
        </w:rPr>
        <w:t>1、面临国际规则、投资贸易和格局变动的挑战</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bookmarkStart w:id="320" w:name="_Toc15558"/>
      <w:bookmarkStart w:id="321" w:name="_Toc8310"/>
      <w:bookmarkStart w:id="322" w:name="_Toc20753"/>
      <w:bookmarkStart w:id="323" w:name="_Toc16663"/>
      <w:r>
        <w:rPr>
          <w:rFonts w:hint="eastAsia" w:ascii="宋体" w:hAnsi="宋体" w:eastAsia="宋体" w:cs="宋体"/>
          <w:color w:val="000000" w:themeColor="text1"/>
          <w:sz w:val="21"/>
          <w:szCs w:val="21"/>
          <w:highlight w:val="none"/>
          <w14:textFill>
            <w14:solidFill>
              <w14:schemeClr w14:val="tx1"/>
            </w14:solidFill>
          </w14:textFill>
        </w:rPr>
        <w:t>国际力量对比发生深刻变化，世界经济格局面临重构，国际上单边主义、贸易保护主义和国际贸易摩擦加剧，国际市场竞争加剧。</w:t>
      </w:r>
      <w:bookmarkEnd w:id="320"/>
      <w:bookmarkEnd w:id="321"/>
      <w:bookmarkEnd w:id="322"/>
      <w:bookmarkEnd w:id="323"/>
      <w:r>
        <w:rPr>
          <w:rFonts w:hint="eastAsia" w:ascii="宋体" w:hAnsi="宋体" w:eastAsia="宋体" w:cs="宋体"/>
          <w:color w:val="000000" w:themeColor="text1"/>
          <w:sz w:val="21"/>
          <w:szCs w:val="21"/>
          <w:highlight w:val="none"/>
          <w14:textFill>
            <w14:solidFill>
              <w14:schemeClr w14:val="tx1"/>
            </w14:solidFill>
          </w14:textFill>
        </w:rPr>
        <w:t>塑料加工业与东南亚相关产业相似度较高，出口商品对当地产品冲击较大，导致贸易摩擦加剧，针对我国塑料加工业的贸易救济调查也在增加。</w:t>
      </w:r>
    </w:p>
    <w:p>
      <w:pPr>
        <w:pStyle w:val="5"/>
        <w:ind w:firstLine="643"/>
        <w:rPr>
          <w:rFonts w:hint="eastAsia" w:ascii="宋体" w:hAnsi="宋体" w:eastAsia="宋体" w:cs="宋体"/>
          <w:b/>
          <w:bCs/>
          <w:color w:val="000000" w:themeColor="text1"/>
          <w:sz w:val="21"/>
          <w:szCs w:val="21"/>
          <w:highlight w:val="none"/>
          <w14:textFill>
            <w14:solidFill>
              <w14:schemeClr w14:val="tx1"/>
            </w14:solidFill>
          </w14:textFill>
        </w:rPr>
      </w:pPr>
      <w:bookmarkStart w:id="324" w:name="_Toc22496"/>
      <w:bookmarkStart w:id="325" w:name="_Toc24409"/>
      <w:bookmarkStart w:id="326" w:name="_Toc2730"/>
      <w:bookmarkStart w:id="327" w:name="_Toc11901"/>
      <w:bookmarkStart w:id="328" w:name="_Toc68512851"/>
      <w:bookmarkStart w:id="329" w:name="_Toc30441"/>
      <w:bookmarkStart w:id="330" w:name="_Toc20423"/>
      <w:bookmarkStart w:id="331" w:name="_Toc29067"/>
      <w:bookmarkStart w:id="332" w:name="_Toc24549"/>
      <w:bookmarkStart w:id="333" w:name="_Toc1049"/>
      <w:bookmarkStart w:id="334" w:name="_Toc7849"/>
      <w:bookmarkStart w:id="335" w:name="_Toc20162"/>
      <w:bookmarkStart w:id="336" w:name="_Toc30351"/>
      <w:bookmarkStart w:id="337" w:name="_Toc30290"/>
      <w:r>
        <w:rPr>
          <w:rFonts w:hint="eastAsia" w:ascii="宋体" w:hAnsi="宋体" w:eastAsia="宋体" w:cs="宋体"/>
          <w:b/>
          <w:bCs/>
          <w:color w:val="000000" w:themeColor="text1"/>
          <w:sz w:val="21"/>
          <w:szCs w:val="21"/>
          <w:highlight w:val="none"/>
          <w14:textFill>
            <w14:solidFill>
              <w14:schemeClr w14:val="tx1"/>
            </w14:solidFill>
          </w14:textFill>
        </w:rPr>
        <w:t>2、面临技术壁垒和竞争加剧的挑战</w:t>
      </w:r>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 xml:space="preserve">发达国家对华技术封锁将常态化乃至持续加码，“卡脖子”技术突破难度显著增加，开放创新的路径日趋复杂化。塑料加工业一些关键核心技术受制于人，部分关键设备、元器件、零部件、原材料依赖进口。                     </w:t>
      </w:r>
    </w:p>
    <w:p>
      <w:pPr>
        <w:pStyle w:val="5"/>
        <w:ind w:firstLine="643"/>
        <w:rPr>
          <w:rFonts w:hint="eastAsia" w:ascii="宋体" w:hAnsi="宋体" w:eastAsia="宋体" w:cs="宋体"/>
          <w:b/>
          <w:bCs/>
          <w:color w:val="000000" w:themeColor="text1"/>
          <w:sz w:val="21"/>
          <w:szCs w:val="21"/>
          <w:highlight w:val="none"/>
          <w14:textFill>
            <w14:solidFill>
              <w14:schemeClr w14:val="tx1"/>
            </w14:solidFill>
          </w14:textFill>
        </w:rPr>
      </w:pPr>
      <w:bookmarkStart w:id="338" w:name="_Toc4864"/>
      <w:bookmarkStart w:id="339" w:name="_Toc22982"/>
      <w:bookmarkStart w:id="340" w:name="_Toc11823"/>
      <w:bookmarkStart w:id="341" w:name="_Toc14437"/>
      <w:bookmarkStart w:id="342" w:name="_Toc16106"/>
      <w:bookmarkStart w:id="343" w:name="_Toc32631"/>
      <w:bookmarkStart w:id="344" w:name="_Toc32737"/>
      <w:bookmarkStart w:id="345" w:name="_Toc5894"/>
      <w:bookmarkStart w:id="346" w:name="_Toc68512852"/>
      <w:bookmarkStart w:id="347" w:name="_Toc14764"/>
      <w:bookmarkStart w:id="348" w:name="_Toc22889"/>
      <w:bookmarkStart w:id="349" w:name="_Toc4507"/>
      <w:bookmarkStart w:id="350" w:name="_Toc11997"/>
      <w:bookmarkStart w:id="351" w:name="_Toc2446"/>
      <w:r>
        <w:rPr>
          <w:rFonts w:hint="eastAsia" w:ascii="宋体" w:hAnsi="宋体" w:eastAsia="宋体" w:cs="宋体"/>
          <w:b/>
          <w:bCs/>
          <w:color w:val="000000" w:themeColor="text1"/>
          <w:sz w:val="21"/>
          <w:szCs w:val="21"/>
          <w:highlight w:val="none"/>
          <w14:textFill>
            <w14:solidFill>
              <w14:schemeClr w14:val="tx1"/>
            </w14:solidFill>
          </w14:textFill>
        </w:rPr>
        <w:t>3、面临创新能力与创新成果转化不足的挑战</w:t>
      </w:r>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行业企业围绕中高端产业的建设和人才等高端要素的竞争愈演愈烈，产业升级困难增加。科技创新与企业、产业、金融等联动发展的创新体制、机制不完善，产学研用协同创新不到位，科技创新产出效能不高，科研成果产业化效率低。</w:t>
      </w:r>
      <w:bookmarkEnd w:id="319"/>
      <w:r>
        <w:rPr>
          <w:rFonts w:hint="eastAsia" w:ascii="宋体" w:hAnsi="宋体" w:eastAsia="宋体" w:cs="宋体"/>
          <w:color w:val="000000" w:themeColor="text1"/>
          <w:sz w:val="21"/>
          <w:szCs w:val="21"/>
          <w:highlight w:val="none"/>
          <w14:textFill>
            <w14:solidFill>
              <w14:schemeClr w14:val="tx1"/>
            </w14:solidFill>
          </w14:textFill>
        </w:rPr>
        <w:t xml:space="preserve">                                                                                                                                                                                                                                                                                                                                                                                                                                                                                                                                                                                                                                                                                                                         </w:t>
      </w:r>
    </w:p>
    <w:p>
      <w:pPr>
        <w:pStyle w:val="5"/>
        <w:ind w:firstLine="643"/>
        <w:jc w:val="both"/>
        <w:rPr>
          <w:rFonts w:hint="eastAsia" w:ascii="宋体" w:hAnsi="宋体" w:eastAsia="宋体" w:cs="宋体"/>
          <w:b/>
          <w:bCs/>
          <w:color w:val="000000" w:themeColor="text1"/>
          <w:sz w:val="21"/>
          <w:szCs w:val="21"/>
          <w:highlight w:val="none"/>
          <w14:textFill>
            <w14:solidFill>
              <w14:schemeClr w14:val="tx1"/>
            </w14:solidFill>
          </w14:textFill>
        </w:rPr>
      </w:pPr>
      <w:bookmarkStart w:id="352" w:name="_Toc52385172"/>
      <w:bookmarkStart w:id="353" w:name="_Toc22681"/>
      <w:bookmarkStart w:id="354" w:name="_Toc29580"/>
      <w:bookmarkStart w:id="355" w:name="_Toc28703"/>
      <w:bookmarkStart w:id="356" w:name="_Toc68512853"/>
      <w:bookmarkStart w:id="357" w:name="_Toc26234"/>
      <w:bookmarkStart w:id="358" w:name="_Toc7482"/>
      <w:bookmarkStart w:id="359" w:name="_Toc11606"/>
      <w:bookmarkStart w:id="360" w:name="_Toc12881"/>
      <w:bookmarkStart w:id="361" w:name="_Toc15342"/>
      <w:bookmarkStart w:id="362" w:name="_Toc22453"/>
      <w:bookmarkStart w:id="363" w:name="_Toc30005"/>
      <w:bookmarkStart w:id="364" w:name="_Toc29130"/>
      <w:bookmarkStart w:id="365" w:name="_Toc9331"/>
      <w:bookmarkStart w:id="366" w:name="_Toc11524"/>
      <w:r>
        <w:rPr>
          <w:rFonts w:hint="eastAsia" w:ascii="宋体" w:hAnsi="宋体" w:eastAsia="宋体" w:cs="宋体"/>
          <w:b/>
          <w:bCs/>
          <w:color w:val="000000" w:themeColor="text1"/>
          <w:sz w:val="21"/>
          <w:szCs w:val="21"/>
          <w:highlight w:val="none"/>
          <w14:textFill>
            <w14:solidFill>
              <w14:schemeClr w14:val="tx1"/>
            </w14:solidFill>
          </w14:textFill>
        </w:rPr>
        <w:t>4、</w:t>
      </w:r>
      <w:bookmarkEnd w:id="352"/>
      <w:bookmarkStart w:id="367" w:name="_Toc52385173"/>
      <w:r>
        <w:rPr>
          <w:rFonts w:hint="eastAsia" w:ascii="宋体" w:hAnsi="宋体" w:eastAsia="宋体" w:cs="宋体"/>
          <w:b/>
          <w:bCs/>
          <w:color w:val="000000" w:themeColor="text1"/>
          <w:sz w:val="21"/>
          <w:szCs w:val="21"/>
          <w:highlight w:val="none"/>
          <w14:textFill>
            <w14:solidFill>
              <w14:schemeClr w14:val="tx1"/>
            </w14:solidFill>
          </w14:textFill>
        </w:rPr>
        <w:t>面临由于塑料废弃物管理不到位带来环保压力</w:t>
      </w:r>
      <w:bookmarkEnd w:id="367"/>
      <w:r>
        <w:rPr>
          <w:rFonts w:hint="eastAsia" w:ascii="宋体" w:hAnsi="宋体" w:eastAsia="宋体" w:cs="宋体"/>
          <w:b/>
          <w:bCs/>
          <w:color w:val="000000" w:themeColor="text1"/>
          <w:sz w:val="21"/>
          <w:szCs w:val="21"/>
          <w:highlight w:val="none"/>
          <w14:textFill>
            <w14:solidFill>
              <w14:schemeClr w14:val="tx1"/>
            </w14:solidFill>
          </w14:textFill>
        </w:rPr>
        <w:t>的挑战</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r>
        <w:rPr>
          <w:rFonts w:hint="eastAsia" w:ascii="宋体" w:hAnsi="宋体" w:eastAsia="宋体" w:cs="宋体"/>
          <w:b/>
          <w:bCs/>
          <w:color w:val="000000" w:themeColor="text1"/>
          <w:sz w:val="21"/>
          <w:szCs w:val="21"/>
          <w:highlight w:val="none"/>
          <w14:textFill>
            <w14:solidFill>
              <w14:schemeClr w14:val="tx1"/>
            </w14:solidFill>
          </w14:textFill>
        </w:rPr>
        <w:t xml:space="preserve"> </w:t>
      </w:r>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由于随意丢弃和管理不到位，造成塑料污染问题。随着一次性塑料制品污染治理进入国家层面，期望运用多种措施达到治理效果。</w:t>
      </w:r>
      <w:bookmarkStart w:id="368" w:name="_Toc30717"/>
      <w:bookmarkStart w:id="369" w:name="_Toc20228"/>
      <w:bookmarkStart w:id="370" w:name="_Toc52385175"/>
      <w:bookmarkStart w:id="371" w:name="_Toc514"/>
      <w:bookmarkStart w:id="372" w:name="_Toc639"/>
      <w:bookmarkStart w:id="373" w:name="_Toc20163"/>
      <w:bookmarkStart w:id="374" w:name="_Toc29519"/>
      <w:bookmarkStart w:id="375" w:name="_Toc23674"/>
      <w:bookmarkStart w:id="376" w:name="_Toc4096"/>
      <w:bookmarkStart w:id="377" w:name="_Toc20787"/>
      <w:bookmarkStart w:id="378" w:name="_Toc68512854"/>
    </w:p>
    <w:p>
      <w:pPr>
        <w:pStyle w:val="3"/>
        <w:ind w:firstLine="420" w:firstLineChars="200"/>
        <w:jc w:val="both"/>
        <w:rPr>
          <w:rFonts w:hint="eastAsia" w:ascii="宋体" w:hAnsi="宋体" w:eastAsia="宋体" w:cs="宋体"/>
          <w:b w:val="0"/>
          <w:bCs/>
          <w:color w:val="000000" w:themeColor="text1"/>
          <w:sz w:val="21"/>
          <w:szCs w:val="21"/>
          <w:highlight w:val="none"/>
          <w14:textFill>
            <w14:solidFill>
              <w14:schemeClr w14:val="tx1"/>
            </w14:solidFill>
          </w14:textFill>
        </w:rPr>
      </w:pPr>
      <w:bookmarkStart w:id="379" w:name="_Toc7744"/>
      <w:bookmarkStart w:id="380" w:name="_Toc28954"/>
      <w:bookmarkStart w:id="381" w:name="_Toc17488"/>
      <w:bookmarkStart w:id="382" w:name="_Toc5265"/>
      <w:r>
        <w:rPr>
          <w:rFonts w:hint="eastAsia" w:ascii="宋体" w:hAnsi="宋体" w:eastAsia="宋体" w:cs="宋体"/>
          <w:b w:val="0"/>
          <w:bCs/>
          <w:color w:val="000000" w:themeColor="text1"/>
          <w:sz w:val="21"/>
          <w:szCs w:val="21"/>
          <w:highlight w:val="none"/>
          <w14:textFill>
            <w14:solidFill>
              <w14:schemeClr w14:val="tx1"/>
            </w14:solidFill>
          </w14:textFill>
        </w:rPr>
        <w:t>三、“十四五”指导思想、基本原则和发展目标</w:t>
      </w:r>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p>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383" w:name="_Toc16611"/>
      <w:bookmarkStart w:id="384" w:name="_Toc22562"/>
      <w:bookmarkStart w:id="385" w:name="_Toc12870"/>
      <w:bookmarkStart w:id="386" w:name="_Toc52385176"/>
      <w:bookmarkStart w:id="387" w:name="_Toc2117"/>
      <w:bookmarkStart w:id="388" w:name="_Toc25408"/>
      <w:bookmarkStart w:id="389" w:name="_Toc12966"/>
      <w:bookmarkStart w:id="390" w:name="_Toc6195"/>
      <w:bookmarkStart w:id="391" w:name="_Toc12595"/>
      <w:bookmarkStart w:id="392" w:name="_Toc10440"/>
      <w:bookmarkStart w:id="393" w:name="_Toc20048"/>
      <w:bookmarkStart w:id="394" w:name="_Toc68512855"/>
      <w:bookmarkStart w:id="395" w:name="_Toc3721"/>
      <w:bookmarkStart w:id="396" w:name="_Toc23563"/>
      <w:bookmarkStart w:id="397" w:name="_Toc7259"/>
      <w:bookmarkStart w:id="398" w:name="_Toc27602"/>
      <w:r>
        <w:rPr>
          <w:rFonts w:hint="eastAsia" w:ascii="宋体" w:hAnsi="宋体" w:eastAsia="宋体" w:cs="宋体"/>
          <w:color w:val="000000" w:themeColor="text1"/>
          <w:sz w:val="21"/>
          <w:szCs w:val="21"/>
          <w:highlight w:val="none"/>
          <w14:textFill>
            <w14:solidFill>
              <w14:schemeClr w14:val="tx1"/>
            </w14:solidFill>
          </w14:textFill>
        </w:rPr>
        <w:t>（一）指导思想</w:t>
      </w:r>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以</w:t>
      </w:r>
      <w:r>
        <w:rPr>
          <w:rFonts w:hint="eastAsia" w:ascii="宋体" w:hAnsi="宋体" w:eastAsia="宋体" w:cs="宋体"/>
          <w:color w:val="000000" w:themeColor="text1"/>
          <w:sz w:val="21"/>
          <w:szCs w:val="21"/>
          <w:highlight w:val="none"/>
          <w:shd w:val="clear" w:color="auto" w:fill="FFFFFF"/>
          <w14:textFill>
            <w14:solidFill>
              <w14:schemeClr w14:val="tx1"/>
            </w14:solidFill>
          </w14:textFill>
        </w:rPr>
        <w:t>习近平新时代中国特色社会主义思想为指导，全面贯彻党的十九大和十九届二中、三中、四中</w:t>
      </w:r>
      <w:r>
        <w:rPr>
          <w:rFonts w:hint="eastAsia" w:ascii="宋体" w:hAnsi="宋体" w:eastAsia="宋体" w:cs="宋体"/>
          <w:color w:val="000000" w:themeColor="text1"/>
          <w:sz w:val="21"/>
          <w:szCs w:val="21"/>
          <w:highlight w:val="none"/>
          <w14:textFill>
            <w14:solidFill>
              <w14:schemeClr w14:val="tx1"/>
            </w14:solidFill>
          </w14:textFill>
        </w:rPr>
        <w:t>、五中全会精神，坚持新发展理念和中央决策部署，正确认识和把握“重要战略机遇期”的新内涵，坚持稳中求进工作总基调；把握国内大循环为主体、国内国际双循环相互促进的新发展格局；以满足人民对美好生活的期盼为出发点，以供给侧结构性改革为主线，同时注重需求侧改革，以科技创新、“三品”战略、智能绿色、产业集群、国际合作、深化改革等为抓手，推动行业实现高质量发展，由中国速度向中国质量转变，推动我国由塑料制品生产大国向强国转变。</w:t>
      </w:r>
    </w:p>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399" w:name="_Toc68512856"/>
      <w:bookmarkStart w:id="400" w:name="_Toc27984"/>
      <w:bookmarkStart w:id="401" w:name="_Toc8106"/>
      <w:bookmarkStart w:id="402" w:name="_Toc24890"/>
      <w:bookmarkStart w:id="403" w:name="_Toc28448"/>
      <w:bookmarkStart w:id="404" w:name="_Toc11188"/>
      <w:bookmarkStart w:id="405" w:name="_Toc26316"/>
      <w:bookmarkStart w:id="406" w:name="_Toc52385177"/>
      <w:bookmarkStart w:id="407" w:name="_Toc29981"/>
      <w:bookmarkStart w:id="408" w:name="_Toc21731"/>
      <w:bookmarkStart w:id="409" w:name="_Toc6484"/>
      <w:bookmarkStart w:id="410" w:name="_Toc11799"/>
      <w:bookmarkStart w:id="411" w:name="_Toc3291"/>
      <w:bookmarkStart w:id="412" w:name="_Toc24773"/>
      <w:bookmarkStart w:id="413" w:name="_Toc28996"/>
      <w:r>
        <w:rPr>
          <w:rFonts w:hint="eastAsia" w:ascii="宋体" w:hAnsi="宋体" w:eastAsia="宋体" w:cs="宋体"/>
          <w:color w:val="000000" w:themeColor="text1"/>
          <w:sz w:val="21"/>
          <w:szCs w:val="21"/>
          <w:highlight w:val="none"/>
          <w14:textFill>
            <w14:solidFill>
              <w14:schemeClr w14:val="tx1"/>
            </w14:solidFill>
          </w14:textFill>
        </w:rPr>
        <w:t>（二）坚持原则</w:t>
      </w:r>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bookmarkStart w:id="414" w:name="_Toc5499"/>
      <w:bookmarkStart w:id="415" w:name="_Toc23150"/>
      <w:bookmarkStart w:id="416" w:name="_Toc28670"/>
      <w:bookmarkStart w:id="417" w:name="_Toc52385178"/>
      <w:r>
        <w:rPr>
          <w:rFonts w:hint="eastAsia" w:ascii="宋体" w:hAnsi="宋体" w:eastAsia="宋体" w:cs="宋体"/>
          <w:color w:val="000000" w:themeColor="text1"/>
          <w:sz w:val="21"/>
          <w:szCs w:val="21"/>
          <w:highlight w:val="none"/>
          <w14:textFill>
            <w14:solidFill>
              <w14:schemeClr w14:val="tx1"/>
            </w14:solidFill>
          </w14:textFill>
        </w:rPr>
        <w:t>1、坚持满足国家重大需求和人民日益增长的美好生活需要。牢牢把握高质量发展要求，坚持质量第一、效益优先，全面落实新发展理念，提质增效，促进经济转型升级。</w:t>
      </w:r>
      <w:bookmarkEnd w:id="414"/>
      <w:bookmarkEnd w:id="415"/>
      <w:bookmarkEnd w:id="416"/>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2、</w:t>
      </w:r>
      <w:bookmarkStart w:id="418" w:name="_Toc66725689"/>
      <w:r>
        <w:rPr>
          <w:rFonts w:hint="eastAsia" w:ascii="宋体" w:hAnsi="宋体" w:eastAsia="宋体" w:cs="宋体"/>
          <w:color w:val="000000" w:themeColor="text1"/>
          <w:sz w:val="21"/>
          <w:szCs w:val="21"/>
          <w:highlight w:val="none"/>
          <w14:textFill>
            <w14:solidFill>
              <w14:schemeClr w14:val="tx1"/>
            </w14:solidFill>
          </w14:textFill>
        </w:rPr>
        <w:t>坚持“功能化、轻量化、精密化、生态化、智能化”技术进步方向</w:t>
      </w:r>
      <w:bookmarkEnd w:id="418"/>
      <w:r>
        <w:rPr>
          <w:rFonts w:hint="eastAsia" w:ascii="宋体" w:hAnsi="宋体" w:eastAsia="宋体" w:cs="宋体"/>
          <w:color w:val="000000" w:themeColor="text1"/>
          <w:sz w:val="21"/>
          <w:szCs w:val="21"/>
          <w:highlight w:val="none"/>
          <w14:textFill>
            <w14:solidFill>
              <w14:schemeClr w14:val="tx1"/>
            </w14:solidFill>
          </w14:textFill>
        </w:rPr>
        <w:t>。发挥行业优势，集中力量实现突破。</w:t>
      </w:r>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3、坚持体制机制创新。加快核心、重大、关键技术的攻关，解决“卡脖子”的技术问题，提高中高端产品的供给能力，逐步实现进口替代，不断满足需求。</w:t>
      </w:r>
    </w:p>
    <w:bookmarkEnd w:id="417"/>
    <w:p>
      <w:pPr>
        <w:pStyle w:val="2"/>
        <w:ind w:left="0" w:leftChars="0"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Style w:val="19"/>
          <w:rFonts w:hint="eastAsia" w:ascii="宋体" w:hAnsi="宋体" w:eastAsia="宋体" w:cs="宋体"/>
          <w:i w:val="0"/>
          <w:color w:val="000000" w:themeColor="text1"/>
          <w:sz w:val="21"/>
          <w:szCs w:val="21"/>
          <w:highlight w:val="none"/>
          <w:shd w:val="clear" w:color="auto" w:fill="FFFFFF"/>
          <w14:textFill>
            <w14:solidFill>
              <w14:schemeClr w14:val="tx1"/>
            </w14:solidFill>
          </w14:textFill>
        </w:rPr>
        <w:t>4、坚持市场导向和</w:t>
      </w:r>
      <w:r>
        <w:rPr>
          <w:rFonts w:hint="eastAsia" w:ascii="宋体" w:hAnsi="宋体" w:eastAsia="宋体" w:cs="宋体"/>
          <w:color w:val="000000" w:themeColor="text1"/>
          <w:sz w:val="21"/>
          <w:szCs w:val="21"/>
          <w:highlight w:val="none"/>
          <w:shd w:val="clear" w:color="auto" w:fill="FFFFFF"/>
          <w14:textFill>
            <w14:solidFill>
              <w14:schemeClr w14:val="tx1"/>
            </w14:solidFill>
          </w14:textFill>
        </w:rPr>
        <w:t>政府引导作用原则。</w:t>
      </w:r>
      <w:r>
        <w:rPr>
          <w:rFonts w:hint="eastAsia" w:ascii="宋体" w:hAnsi="宋体" w:eastAsia="宋体" w:cs="宋体"/>
          <w:color w:val="000000" w:themeColor="text1"/>
          <w:sz w:val="21"/>
          <w:szCs w:val="21"/>
          <w:highlight w:val="none"/>
          <w14:textFill>
            <w14:solidFill>
              <w14:schemeClr w14:val="tx1"/>
            </w14:solidFill>
          </w14:textFill>
        </w:rPr>
        <w:t>按照经济社会发展和消费者物质精神需求，充分发挥市场在资源配置中的决定性作用，按市场规则、市场价格、市场竞争配置资源，实现效益最大化和效率最优化，同时</w:t>
      </w:r>
      <w:r>
        <w:rPr>
          <w:rStyle w:val="19"/>
          <w:rFonts w:hint="eastAsia" w:ascii="宋体" w:hAnsi="宋体" w:eastAsia="宋体" w:cs="宋体"/>
          <w:i w:val="0"/>
          <w:color w:val="000000" w:themeColor="text1"/>
          <w:sz w:val="21"/>
          <w:szCs w:val="21"/>
          <w:highlight w:val="none"/>
          <w:shd w:val="clear" w:color="auto" w:fill="FFFFFF"/>
          <w14:textFill>
            <w14:solidFill>
              <w14:schemeClr w14:val="tx1"/>
            </w14:solidFill>
          </w14:textFill>
        </w:rPr>
        <w:t>发挥政府</w:t>
      </w:r>
      <w:r>
        <w:rPr>
          <w:rFonts w:hint="eastAsia" w:ascii="宋体" w:hAnsi="宋体" w:eastAsia="宋体" w:cs="宋体"/>
          <w:color w:val="000000" w:themeColor="text1"/>
          <w:sz w:val="21"/>
          <w:szCs w:val="21"/>
          <w:highlight w:val="none"/>
          <w:shd w:val="clear" w:color="auto" w:fill="FFFFFF"/>
          <w14:textFill>
            <w14:solidFill>
              <w14:schemeClr w14:val="tx1"/>
            </w14:solidFill>
          </w14:textFill>
        </w:rPr>
        <w:t>的引导和推动作用。</w:t>
      </w:r>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5、坚持高标准引领。推进国标、行标、团标等相关标准的制修订工作，推动标准化工作进程，促进行业标准的进步与发展，不断提高行业国际影响力和竞争力。</w:t>
      </w:r>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bookmarkStart w:id="419" w:name="_Toc52385182"/>
      <w:r>
        <w:rPr>
          <w:rFonts w:hint="eastAsia" w:ascii="宋体" w:hAnsi="宋体" w:eastAsia="宋体" w:cs="宋体"/>
          <w:color w:val="000000" w:themeColor="text1"/>
          <w:sz w:val="21"/>
          <w:szCs w:val="21"/>
          <w:highlight w:val="none"/>
          <w14:textFill>
            <w14:solidFill>
              <w14:schemeClr w14:val="tx1"/>
            </w14:solidFill>
          </w14:textFill>
        </w:rPr>
        <w:t>6、坚持生态化发展。</w:t>
      </w:r>
      <w:bookmarkEnd w:id="419"/>
      <w:r>
        <w:rPr>
          <w:rFonts w:hint="eastAsia" w:ascii="宋体" w:hAnsi="宋体" w:eastAsia="宋体" w:cs="宋体"/>
          <w:color w:val="000000" w:themeColor="text1"/>
          <w:sz w:val="21"/>
          <w:szCs w:val="21"/>
          <w:highlight w:val="none"/>
          <w14:textFill>
            <w14:solidFill>
              <w14:schemeClr w14:val="tx1"/>
            </w14:solidFill>
          </w14:textFill>
        </w:rPr>
        <w:t>贯彻落实“绿水青山就是金山银山”的发展理念，在节能减排、清洁生产、资源循环利用、污染综合治理、灾害防控等方面要取得新的进展。</w:t>
      </w:r>
    </w:p>
    <w:p>
      <w:pPr>
        <w:pStyle w:val="4"/>
        <w:numPr>
          <w:ilvl w:val="0"/>
          <w:numId w:val="1"/>
        </w:numPr>
        <w:jc w:val="both"/>
        <w:rPr>
          <w:rFonts w:hint="eastAsia" w:ascii="宋体" w:hAnsi="宋体" w:eastAsia="宋体" w:cs="宋体"/>
          <w:color w:val="000000" w:themeColor="text1"/>
          <w:sz w:val="21"/>
          <w:szCs w:val="21"/>
          <w:highlight w:val="none"/>
          <w14:textFill>
            <w14:solidFill>
              <w14:schemeClr w14:val="tx1"/>
            </w14:solidFill>
          </w14:textFill>
        </w:rPr>
      </w:pPr>
      <w:bookmarkStart w:id="420" w:name="_Toc24698"/>
      <w:bookmarkStart w:id="421" w:name="_Toc9426"/>
      <w:bookmarkStart w:id="422" w:name="_Toc4070"/>
      <w:bookmarkStart w:id="423" w:name="_Toc27562"/>
      <w:bookmarkStart w:id="424" w:name="_Toc22753"/>
      <w:bookmarkStart w:id="425" w:name="_Toc10235"/>
      <w:bookmarkStart w:id="426" w:name="_Toc68512857"/>
      <w:bookmarkStart w:id="427" w:name="_Toc13663"/>
      <w:bookmarkStart w:id="428" w:name="_Toc52385184"/>
      <w:bookmarkStart w:id="429" w:name="_Toc9921"/>
      <w:bookmarkStart w:id="430" w:name="_Toc12447"/>
      <w:bookmarkStart w:id="431" w:name="_Toc4459"/>
      <w:bookmarkStart w:id="432" w:name="_Toc22061"/>
      <w:bookmarkStart w:id="433" w:name="_Toc16273"/>
      <w:bookmarkStart w:id="434" w:name="_Toc8606"/>
      <w:bookmarkStart w:id="435" w:name="_Toc19075"/>
      <w:r>
        <w:rPr>
          <w:rFonts w:hint="eastAsia" w:ascii="宋体" w:hAnsi="宋体" w:eastAsia="宋体" w:cs="宋体"/>
          <w:color w:val="000000" w:themeColor="text1"/>
          <w:sz w:val="21"/>
          <w:szCs w:val="21"/>
          <w:highlight w:val="none"/>
          <w14:textFill>
            <w14:solidFill>
              <w14:schemeClr w14:val="tx1"/>
            </w14:solidFill>
          </w14:textFill>
        </w:rPr>
        <w:t>发展目标</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p>
    <w:p>
      <w:pPr>
        <w:ind w:firstLine="422" w:firstLineChars="200"/>
        <w:rPr>
          <w:rFonts w:hint="eastAsia" w:ascii="宋体" w:hAnsi="宋体" w:eastAsia="宋体" w:cs="宋体"/>
          <w:color w:val="000000" w:themeColor="text1"/>
          <w:sz w:val="21"/>
          <w:szCs w:val="21"/>
          <w:highlight w:val="none"/>
          <w14:textFill>
            <w14:solidFill>
              <w14:schemeClr w14:val="tx1"/>
            </w14:solidFill>
          </w14:textFill>
        </w:rPr>
      </w:pPr>
      <w:bookmarkStart w:id="436" w:name="_Toc26169"/>
      <w:bookmarkStart w:id="437" w:name="_Toc52385187"/>
      <w:r>
        <w:rPr>
          <w:rFonts w:hint="eastAsia" w:ascii="宋体" w:hAnsi="宋体" w:eastAsia="宋体" w:cs="宋体"/>
          <w:b/>
          <w:bCs/>
          <w:color w:val="000000" w:themeColor="text1"/>
          <w:sz w:val="21"/>
          <w:szCs w:val="21"/>
          <w:highlight w:val="none"/>
          <w14:textFill>
            <w14:solidFill>
              <w14:schemeClr w14:val="tx1"/>
            </w14:solidFill>
          </w14:textFill>
        </w:rPr>
        <w:t>1、规模发展目标：</w:t>
      </w:r>
      <w:r>
        <w:rPr>
          <w:rFonts w:hint="eastAsia" w:ascii="宋体" w:hAnsi="宋体" w:eastAsia="宋体" w:cs="宋体"/>
          <w:color w:val="000000" w:themeColor="text1"/>
          <w:sz w:val="21"/>
          <w:szCs w:val="21"/>
          <w:highlight w:val="none"/>
          <w14:textFill>
            <w14:solidFill>
              <w14:schemeClr w14:val="tx1"/>
            </w14:solidFill>
          </w14:textFill>
        </w:rPr>
        <w:t>保持塑料制品产量、营业收入、利润总额及出口额稳定增长，形成一批具有较强竞争力的跨国公司和产业集群，在全球产业分工和价值链中的地位明显提升，结构调整和产业升级取得显著成效，加快构建现代工业体系，基本实现我国由塑料制造大国向强国的历史性转变。</w:t>
      </w:r>
    </w:p>
    <w:p>
      <w:pPr>
        <w:pStyle w:val="2"/>
        <w:ind w:left="0" w:leftChars="0" w:firstLine="422"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14:textFill>
            <w14:solidFill>
              <w14:schemeClr w14:val="tx1"/>
            </w14:solidFill>
          </w14:textFill>
        </w:rPr>
        <w:t>2、技术创新目标</w:t>
      </w:r>
      <w:r>
        <w:rPr>
          <w:rFonts w:hint="eastAsia" w:ascii="宋体" w:hAnsi="宋体" w:eastAsia="宋体" w:cs="宋体"/>
          <w:color w:val="000000" w:themeColor="text1"/>
          <w:sz w:val="21"/>
          <w:szCs w:val="21"/>
          <w:highlight w:val="none"/>
          <w14:textFill>
            <w14:solidFill>
              <w14:schemeClr w14:val="tx1"/>
            </w14:solidFill>
          </w14:textFill>
        </w:rPr>
        <w:t>：促进重点企业进一步增加研发经费投入。整合行业优势资源，到2025年，实现新增10个</w:t>
      </w:r>
      <w:r>
        <w:rPr>
          <w:rFonts w:hint="eastAsia" w:ascii="宋体" w:hAnsi="宋体" w:eastAsia="宋体" w:cs="宋体"/>
          <w:color w:val="000000" w:themeColor="text1"/>
          <w:sz w:val="21"/>
          <w:szCs w:val="21"/>
          <w:highlight w:val="none"/>
          <w:lang w:eastAsia="zh-CN"/>
          <w14:textFill>
            <w14:solidFill>
              <w14:schemeClr w14:val="tx1"/>
            </w14:solidFill>
          </w14:textFill>
        </w:rPr>
        <w:t>以上</w:t>
      </w:r>
      <w:r>
        <w:rPr>
          <w:rFonts w:hint="eastAsia" w:ascii="宋体" w:hAnsi="宋体" w:eastAsia="宋体" w:cs="宋体"/>
          <w:color w:val="000000" w:themeColor="text1"/>
          <w:sz w:val="21"/>
          <w:szCs w:val="21"/>
          <w:highlight w:val="none"/>
          <w14:textFill>
            <w14:solidFill>
              <w14:schemeClr w14:val="tx1"/>
            </w14:solidFill>
          </w14:textFill>
        </w:rPr>
        <w:t>中国轻工业重点实验室、工程技术研究中心、工程设计中心等创新平台，新增国家级重点实验室和国家级企业技术中心5个</w:t>
      </w:r>
      <w:r>
        <w:rPr>
          <w:rFonts w:hint="eastAsia" w:ascii="宋体" w:hAnsi="宋体" w:eastAsia="宋体" w:cs="宋体"/>
          <w:color w:val="000000" w:themeColor="text1"/>
          <w:sz w:val="21"/>
          <w:szCs w:val="21"/>
          <w:highlight w:val="none"/>
          <w:lang w:eastAsia="zh-CN"/>
          <w14:textFill>
            <w14:solidFill>
              <w14:schemeClr w14:val="tx1"/>
            </w14:solidFill>
          </w14:textFill>
        </w:rPr>
        <w:t>以上</w:t>
      </w:r>
      <w:r>
        <w:rPr>
          <w:rFonts w:hint="eastAsia" w:ascii="宋体" w:hAnsi="宋体" w:eastAsia="宋体" w:cs="宋体"/>
          <w:color w:val="000000" w:themeColor="text1"/>
          <w:sz w:val="21"/>
          <w:szCs w:val="21"/>
          <w:highlight w:val="none"/>
          <w14:textFill>
            <w14:solidFill>
              <w14:schemeClr w14:val="tx1"/>
            </w14:solidFill>
          </w14:textFill>
        </w:rPr>
        <w:t>，新产品贡献率超过40%。</w:t>
      </w:r>
    </w:p>
    <w:p>
      <w:pPr>
        <w:pStyle w:val="2"/>
        <w:ind w:left="0" w:leftChars="0"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到2025年，塑料加工业主要产品及配件能够满足国民经济和社会发展尤其是高端领域的需求，部分产品和技术达到世界领先水平；建立达到国际先进水平的行业产品标准体系；行业创新能力显著增强，全员劳动生产率明显提高，“两化”融合迈上新台阶。</w:t>
      </w:r>
    </w:p>
    <w:p>
      <w:pPr>
        <w:ind w:firstLine="422"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bCs/>
          <w:color w:val="000000" w:themeColor="text1"/>
          <w:sz w:val="21"/>
          <w:szCs w:val="21"/>
          <w:highlight w:val="none"/>
          <w14:textFill>
            <w14:solidFill>
              <w14:schemeClr w14:val="tx1"/>
            </w14:solidFill>
          </w14:textFill>
        </w:rPr>
        <w:t>3、绿色发展目标：</w:t>
      </w:r>
      <w:r>
        <w:rPr>
          <w:rFonts w:hint="eastAsia" w:ascii="宋体" w:hAnsi="宋体" w:eastAsia="宋体" w:cs="宋体"/>
          <w:color w:val="000000" w:themeColor="text1"/>
          <w:sz w:val="21"/>
          <w:szCs w:val="21"/>
          <w:highlight w:val="none"/>
          <w14:textFill>
            <w14:solidFill>
              <w14:schemeClr w14:val="tx1"/>
            </w14:solidFill>
          </w14:textFill>
        </w:rPr>
        <w:t>推进节能减排及清洁生产技术应用，推进新能源利用，采用环保新材料、新工艺及新技术降低能耗，重点行业单位工业增加值能耗、物耗及污染物排放达到世界先进水平，为碳峰值、碳中和目标的早日实现打好基础。大力研发推广可循环、易回收、可降解替代产品和技术，实现经济、环境、社会效益协调发展。</w:t>
      </w:r>
      <w:bookmarkStart w:id="438" w:name="_Toc2013"/>
      <w:bookmarkStart w:id="439" w:name="_Toc6115"/>
      <w:bookmarkStart w:id="440" w:name="_Toc24461"/>
      <w:bookmarkStart w:id="441" w:name="_Toc68512858"/>
      <w:bookmarkStart w:id="442" w:name="_Toc26751"/>
      <w:bookmarkStart w:id="443" w:name="_Toc28967"/>
      <w:bookmarkStart w:id="444" w:name="_Toc14527"/>
      <w:bookmarkStart w:id="445" w:name="_Toc21917"/>
      <w:bookmarkStart w:id="446" w:name="_Toc5315"/>
      <w:bookmarkStart w:id="447" w:name="_Toc7435"/>
    </w:p>
    <w:p>
      <w:pPr>
        <w:pStyle w:val="3"/>
        <w:ind w:firstLine="420" w:firstLineChars="200"/>
        <w:jc w:val="both"/>
        <w:rPr>
          <w:rFonts w:hint="eastAsia" w:ascii="宋体" w:hAnsi="宋体" w:eastAsia="宋体" w:cs="宋体"/>
          <w:b w:val="0"/>
          <w:bCs w:val="0"/>
          <w:color w:val="000000" w:themeColor="text1"/>
          <w:sz w:val="21"/>
          <w:szCs w:val="21"/>
          <w:highlight w:val="none"/>
          <w14:textFill>
            <w14:solidFill>
              <w14:schemeClr w14:val="tx1"/>
            </w14:solidFill>
          </w14:textFill>
        </w:rPr>
      </w:pPr>
      <w:bookmarkStart w:id="448" w:name="_Toc1375"/>
      <w:bookmarkStart w:id="449" w:name="_Toc22648"/>
      <w:bookmarkStart w:id="450" w:name="_Toc7758"/>
      <w:bookmarkStart w:id="451" w:name="_Toc28837"/>
      <w:r>
        <w:rPr>
          <w:rFonts w:hint="eastAsia" w:ascii="宋体" w:hAnsi="宋体" w:eastAsia="宋体" w:cs="宋体"/>
          <w:b w:val="0"/>
          <w:bCs w:val="0"/>
          <w:color w:val="000000" w:themeColor="text1"/>
          <w:sz w:val="21"/>
          <w:szCs w:val="21"/>
          <w:highlight w:val="none"/>
          <w14:textFill>
            <w14:solidFill>
              <w14:schemeClr w14:val="tx1"/>
            </w14:solidFill>
          </w14:textFill>
        </w:rPr>
        <w:t>四、重点任务</w:t>
      </w:r>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bookmarkStart w:id="452" w:name="_Toc490"/>
      <w:bookmarkStart w:id="453" w:name="_Toc14813"/>
      <w:bookmarkStart w:id="454" w:name="_Toc32476"/>
      <w:r>
        <w:rPr>
          <w:rFonts w:hint="eastAsia" w:ascii="宋体" w:hAnsi="宋体" w:eastAsia="宋体" w:cs="宋体"/>
          <w:color w:val="000000" w:themeColor="text1"/>
          <w:sz w:val="21"/>
          <w:szCs w:val="21"/>
          <w:highlight w:val="none"/>
          <w14:textFill>
            <w14:solidFill>
              <w14:schemeClr w14:val="tx1"/>
            </w14:solidFill>
          </w14:textFill>
        </w:rPr>
        <w:t>“十四五”期间，塑料加工行业要贯彻创新、协调、绿色、开放、共享的新发展理念，围绕“五化”方面着力，为塑料加工业实现高质量发展提供支撑，为构建新发展格局做贡献。</w:t>
      </w:r>
      <w:bookmarkEnd w:id="452"/>
      <w:bookmarkEnd w:id="453"/>
    </w:p>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455" w:name="_Toc18760"/>
      <w:bookmarkStart w:id="456" w:name="_Toc68512859"/>
      <w:bookmarkStart w:id="457" w:name="_Toc20444"/>
      <w:bookmarkStart w:id="458" w:name="_Toc9133"/>
      <w:bookmarkStart w:id="459" w:name="_Toc18505"/>
      <w:bookmarkStart w:id="460" w:name="_Toc19019"/>
      <w:bookmarkStart w:id="461" w:name="_Toc29758"/>
      <w:bookmarkStart w:id="462" w:name="_Toc23471"/>
      <w:bookmarkStart w:id="463" w:name="_Toc27655"/>
      <w:bookmarkStart w:id="464" w:name="_Toc5604"/>
      <w:bookmarkStart w:id="465" w:name="_Toc13023"/>
      <w:bookmarkStart w:id="466" w:name="_Toc24447"/>
      <w:bookmarkStart w:id="467" w:name="_Toc13604"/>
      <w:bookmarkStart w:id="468" w:name="_Toc20851"/>
      <w:bookmarkStart w:id="469" w:name="_Toc52385188"/>
      <w:r>
        <w:rPr>
          <w:rFonts w:hint="eastAsia" w:ascii="宋体" w:hAnsi="宋体" w:eastAsia="宋体" w:cs="宋体"/>
          <w:color w:val="000000" w:themeColor="text1"/>
          <w:sz w:val="21"/>
          <w:szCs w:val="21"/>
          <w:highlight w:val="none"/>
          <w14:textFill>
            <w14:solidFill>
              <w14:schemeClr w14:val="tx1"/>
            </w14:solidFill>
          </w14:textFill>
        </w:rPr>
        <w:t>（一）强化创新体系建设</w:t>
      </w:r>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bookmarkStart w:id="470" w:name="_Toc31887"/>
      <w:bookmarkStart w:id="471" w:name="_Toc27789"/>
      <w:bookmarkStart w:id="472" w:name="_Toc20885"/>
      <w:bookmarkStart w:id="473" w:name="_Toc11567"/>
      <w:r>
        <w:rPr>
          <w:rFonts w:hint="eastAsia" w:ascii="宋体" w:hAnsi="宋体" w:eastAsia="宋体" w:cs="宋体"/>
          <w:color w:val="000000" w:themeColor="text1"/>
          <w:sz w:val="21"/>
          <w:szCs w:val="21"/>
          <w:highlight w:val="none"/>
          <w14:textFill>
            <w14:solidFill>
              <w14:schemeClr w14:val="tx1"/>
            </w14:solidFill>
          </w14:textFill>
        </w:rPr>
        <w:t>坚持创新驱动，加强基础性、应用及共性技术研究。激发企业创新主体内生动力，发挥大学科研院所支撑作用，发挥国家级协会优势，推动构建政产学研金用集成创新、产业链协同创新、创新的供给侧与需求侧精准对接，实现高效创新。加大科研投入，推动高新技术利用，集中力量在核心、重大、关键技术攻关，解决“卡脖子”技术问题等领域实现突破；通过科技创新和技术进步弥补关键技术不足的短板，解决发展不平衡问题，促进产业升级，实现由大向强的转变。</w:t>
      </w:r>
      <w:bookmarkEnd w:id="469"/>
      <w:bookmarkEnd w:id="470"/>
      <w:bookmarkEnd w:id="471"/>
      <w:bookmarkEnd w:id="472"/>
      <w:bookmarkEnd w:id="473"/>
    </w:p>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474" w:name="_Toc11693"/>
      <w:bookmarkStart w:id="475" w:name="_Toc6879"/>
      <w:bookmarkStart w:id="476" w:name="_Toc28915"/>
      <w:bookmarkStart w:id="477" w:name="_Toc29689"/>
      <w:bookmarkStart w:id="478" w:name="_Toc15069"/>
      <w:bookmarkStart w:id="479" w:name="_Toc17858"/>
      <w:bookmarkStart w:id="480" w:name="_Toc10105"/>
      <w:bookmarkStart w:id="481" w:name="_Toc20524"/>
      <w:bookmarkStart w:id="482" w:name="_Toc68512860"/>
      <w:bookmarkStart w:id="483" w:name="_Toc24163"/>
      <w:bookmarkStart w:id="484" w:name="_Toc27805"/>
      <w:bookmarkStart w:id="485" w:name="_Toc27448"/>
      <w:bookmarkStart w:id="486" w:name="_Toc30620"/>
      <w:bookmarkStart w:id="487" w:name="_Toc15116"/>
      <w:bookmarkStart w:id="488" w:name="_Toc52385189"/>
      <w:r>
        <w:rPr>
          <w:rFonts w:hint="eastAsia" w:ascii="宋体" w:hAnsi="宋体" w:eastAsia="宋体" w:cs="宋体"/>
          <w:color w:val="000000" w:themeColor="text1"/>
          <w:sz w:val="21"/>
          <w:szCs w:val="21"/>
          <w:highlight w:val="none"/>
          <w14:textFill>
            <w14:solidFill>
              <w14:schemeClr w14:val="tx1"/>
            </w14:solidFill>
          </w14:textFill>
        </w:rPr>
        <w:t>（二）推动产业链协同</w:t>
      </w:r>
      <w:bookmarkEnd w:id="474"/>
      <w:bookmarkEnd w:id="475"/>
      <w:r>
        <w:rPr>
          <w:rFonts w:hint="eastAsia" w:ascii="宋体" w:hAnsi="宋体" w:eastAsia="宋体" w:cs="宋体"/>
          <w:color w:val="000000" w:themeColor="text1"/>
          <w:sz w:val="21"/>
          <w:szCs w:val="21"/>
          <w:highlight w:val="none"/>
          <w14:textFill>
            <w14:solidFill>
              <w14:schemeClr w14:val="tx1"/>
            </w14:solidFill>
          </w14:textFill>
        </w:rPr>
        <w:t>发展</w:t>
      </w:r>
      <w:bookmarkEnd w:id="476"/>
      <w:bookmarkEnd w:id="477"/>
      <w:bookmarkEnd w:id="478"/>
      <w:bookmarkEnd w:id="479"/>
      <w:bookmarkEnd w:id="480"/>
      <w:bookmarkEnd w:id="481"/>
      <w:bookmarkEnd w:id="482"/>
      <w:bookmarkEnd w:id="483"/>
      <w:bookmarkEnd w:id="484"/>
      <w:bookmarkEnd w:id="485"/>
      <w:bookmarkEnd w:id="486"/>
      <w:bookmarkEnd w:id="487"/>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bookmarkStart w:id="489" w:name="_Toc24241"/>
      <w:bookmarkStart w:id="490" w:name="_Toc7279"/>
      <w:r>
        <w:rPr>
          <w:rFonts w:hint="eastAsia" w:ascii="宋体" w:hAnsi="宋体" w:eastAsia="宋体" w:cs="宋体"/>
          <w:color w:val="000000" w:themeColor="text1"/>
          <w:sz w:val="21"/>
          <w:szCs w:val="21"/>
          <w:highlight w:val="none"/>
          <w14:textFill>
            <w14:solidFill>
              <w14:schemeClr w14:val="tx1"/>
            </w14:solidFill>
          </w14:textFill>
        </w:rPr>
        <w:t>围绕产业链部署创新链，围绕创新链布局产业链，进一步挖掘行业潜力，提升产业链整体水平。发挥优秀骨干企业带动作用，促进塑料原料、助剂的高质化和装备、模具的精细化、高效化，做好应用领域的服务，促进全产业链工艺技术管理精益化，实现创新链、产业链、供应链协同创新。</w:t>
      </w:r>
      <w:bookmarkEnd w:id="489"/>
      <w:bookmarkEnd w:id="490"/>
      <w:bookmarkStart w:id="491" w:name="_Toc28381"/>
      <w:bookmarkStart w:id="492" w:name="_Toc19078"/>
    </w:p>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493" w:name="_Toc8655"/>
      <w:bookmarkStart w:id="494" w:name="_Toc10522"/>
      <w:bookmarkStart w:id="495" w:name="_Toc8513"/>
      <w:bookmarkStart w:id="496" w:name="_Toc27332"/>
      <w:bookmarkStart w:id="497" w:name="_Toc21697"/>
      <w:bookmarkStart w:id="498" w:name="_Toc29009"/>
      <w:bookmarkStart w:id="499" w:name="_Toc23435"/>
      <w:bookmarkStart w:id="500" w:name="_Toc22206"/>
      <w:bookmarkStart w:id="501" w:name="_Toc13650"/>
      <w:bookmarkStart w:id="502" w:name="_Toc68512861"/>
      <w:bookmarkStart w:id="503" w:name="_Toc5889"/>
      <w:bookmarkStart w:id="504" w:name="_Toc23145"/>
      <w:r>
        <w:rPr>
          <w:rFonts w:hint="eastAsia" w:ascii="宋体" w:hAnsi="宋体" w:eastAsia="宋体" w:cs="宋体"/>
          <w:color w:val="000000" w:themeColor="text1"/>
          <w:sz w:val="21"/>
          <w:szCs w:val="21"/>
          <w:highlight w:val="none"/>
          <w14:textFill>
            <w14:solidFill>
              <w14:schemeClr w14:val="tx1"/>
            </w14:solidFill>
          </w14:textFill>
        </w:rPr>
        <w:t>（三）推进行业结构调整</w:t>
      </w:r>
      <w:bookmarkEnd w:id="491"/>
      <w:bookmarkEnd w:id="492"/>
      <w:r>
        <w:rPr>
          <w:rFonts w:hint="eastAsia" w:ascii="宋体" w:hAnsi="宋体" w:eastAsia="宋体" w:cs="宋体"/>
          <w:color w:val="000000" w:themeColor="text1"/>
          <w:sz w:val="21"/>
          <w:szCs w:val="21"/>
          <w:highlight w:val="none"/>
          <w14:textFill>
            <w14:solidFill>
              <w14:schemeClr w14:val="tx1"/>
            </w14:solidFill>
          </w14:textFill>
        </w:rPr>
        <w:t>和提质增效</w:t>
      </w:r>
      <w:bookmarkEnd w:id="493"/>
      <w:bookmarkEnd w:id="494"/>
      <w:bookmarkEnd w:id="495"/>
      <w:bookmarkEnd w:id="496"/>
      <w:bookmarkEnd w:id="497"/>
      <w:bookmarkEnd w:id="498"/>
      <w:bookmarkEnd w:id="499"/>
      <w:bookmarkEnd w:id="500"/>
      <w:bookmarkEnd w:id="501"/>
      <w:bookmarkEnd w:id="502"/>
      <w:bookmarkEnd w:id="503"/>
      <w:bookmarkEnd w:id="504"/>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bookmarkStart w:id="505" w:name="_Toc8939"/>
      <w:bookmarkStart w:id="506" w:name="_Toc13381"/>
      <w:r>
        <w:rPr>
          <w:rFonts w:hint="eastAsia" w:ascii="宋体" w:hAnsi="宋体" w:eastAsia="宋体" w:cs="宋体"/>
          <w:color w:val="000000" w:themeColor="text1"/>
          <w:sz w:val="21"/>
          <w:szCs w:val="21"/>
          <w:highlight w:val="none"/>
          <w14:textFill>
            <w14:solidFill>
              <w14:schemeClr w14:val="tx1"/>
            </w14:solidFill>
          </w14:textFill>
        </w:rPr>
        <w:t>培养新的增长点，做好淘汰、转型、提升、转移工作，逐步化解过剩低质低效产能，加快推动技术改造，推动塑料加工业向中高端迈进；促进行业协调发展，实现产业结构趋向合理。</w:t>
      </w:r>
      <w:bookmarkEnd w:id="505"/>
      <w:bookmarkEnd w:id="506"/>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对标先进，着力增品种、提品质、创品牌，提升高端有效供给，创造需求，引领消费。培育和弘扬精益管理、精品制造的工匠精神，树立质量为先、信誉至上的经营理念，助力中国制造向中国创造转变。</w:t>
      </w:r>
    </w:p>
    <w:p>
      <w:pPr>
        <w:pStyle w:val="4"/>
        <w:numPr>
          <w:ilvl w:val="0"/>
          <w:numId w:val="1"/>
        </w:numPr>
        <w:jc w:val="both"/>
        <w:rPr>
          <w:rFonts w:hint="eastAsia" w:ascii="宋体" w:hAnsi="宋体" w:eastAsia="宋体" w:cs="宋体"/>
          <w:color w:val="000000" w:themeColor="text1"/>
          <w:sz w:val="21"/>
          <w:szCs w:val="21"/>
          <w:highlight w:val="none"/>
          <w14:textFill>
            <w14:solidFill>
              <w14:schemeClr w14:val="tx1"/>
            </w14:solidFill>
          </w14:textFill>
        </w:rPr>
      </w:pPr>
      <w:bookmarkStart w:id="507" w:name="_Toc24582"/>
      <w:bookmarkStart w:id="508" w:name="_Toc27429"/>
      <w:bookmarkStart w:id="509" w:name="_Toc166"/>
      <w:bookmarkStart w:id="510" w:name="_Toc32573"/>
      <w:bookmarkStart w:id="511" w:name="_Toc11825"/>
      <w:bookmarkStart w:id="512" w:name="_Toc5415"/>
      <w:bookmarkStart w:id="513" w:name="_Toc8388"/>
      <w:bookmarkStart w:id="514" w:name="_Toc14390"/>
      <w:bookmarkStart w:id="515" w:name="_Toc68512862"/>
      <w:bookmarkStart w:id="516" w:name="_Toc6923"/>
      <w:bookmarkStart w:id="517" w:name="_Toc31837"/>
      <w:bookmarkStart w:id="518" w:name="_Toc516"/>
      <w:bookmarkStart w:id="519" w:name="_Toc4234"/>
      <w:bookmarkStart w:id="520" w:name="_Toc10055"/>
      <w:r>
        <w:rPr>
          <w:rFonts w:hint="eastAsia" w:ascii="宋体" w:hAnsi="宋体" w:eastAsia="宋体" w:cs="宋体"/>
          <w:color w:val="000000" w:themeColor="text1"/>
          <w:sz w:val="21"/>
          <w:szCs w:val="21"/>
          <w:highlight w:val="none"/>
          <w14:textFill>
            <w14:solidFill>
              <w14:schemeClr w14:val="tx1"/>
            </w14:solidFill>
          </w14:textFill>
        </w:rPr>
        <w:t>坚持</w:t>
      </w:r>
      <w:bookmarkEnd w:id="488"/>
      <w:bookmarkEnd w:id="507"/>
      <w:bookmarkEnd w:id="508"/>
      <w:r>
        <w:rPr>
          <w:rFonts w:hint="eastAsia" w:ascii="宋体" w:hAnsi="宋体" w:eastAsia="宋体" w:cs="宋体"/>
          <w:color w:val="000000" w:themeColor="text1"/>
          <w:sz w:val="21"/>
          <w:szCs w:val="21"/>
          <w:highlight w:val="none"/>
          <w14:textFill>
            <w14:solidFill>
              <w14:schemeClr w14:val="tx1"/>
            </w14:solidFill>
          </w14:textFill>
        </w:rPr>
        <w:t>“五化”技术进步方向</w:t>
      </w:r>
      <w:bookmarkEnd w:id="509"/>
      <w:bookmarkEnd w:id="510"/>
      <w:bookmarkEnd w:id="511"/>
      <w:bookmarkEnd w:id="512"/>
      <w:bookmarkEnd w:id="513"/>
      <w:bookmarkEnd w:id="514"/>
      <w:bookmarkEnd w:id="515"/>
      <w:bookmarkEnd w:id="516"/>
      <w:bookmarkEnd w:id="517"/>
      <w:bookmarkEnd w:id="518"/>
      <w:bookmarkEnd w:id="519"/>
      <w:bookmarkEnd w:id="520"/>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坚持“功能化、轻量化、精密化、生态化、智能化”技术进步方向。</w:t>
      </w:r>
      <w:bookmarkStart w:id="521" w:name="_Toc52385191"/>
      <w:r>
        <w:rPr>
          <w:rFonts w:hint="eastAsia" w:ascii="宋体" w:hAnsi="宋体" w:eastAsia="宋体" w:cs="宋体"/>
          <w:b/>
          <w:color w:val="000000" w:themeColor="text1"/>
          <w:sz w:val="21"/>
          <w:szCs w:val="21"/>
          <w:highlight w:val="none"/>
          <w14:textFill>
            <w14:solidFill>
              <w14:schemeClr w14:val="tx1"/>
            </w14:solidFill>
          </w14:textFill>
        </w:rPr>
        <w:t>功能化：</w:t>
      </w:r>
      <w:r>
        <w:rPr>
          <w:rFonts w:hint="eastAsia" w:ascii="宋体" w:hAnsi="宋体" w:eastAsia="宋体" w:cs="宋体"/>
          <w:color w:val="000000" w:themeColor="text1"/>
          <w:sz w:val="21"/>
          <w:szCs w:val="21"/>
          <w:highlight w:val="none"/>
          <w14:textFill>
            <w14:solidFill>
              <w14:schemeClr w14:val="tx1"/>
            </w14:solidFill>
          </w14:textFill>
        </w:rPr>
        <w:t>大力开发用于航空、航天、国防军工及汽车、高铁、家电、通讯、现代农业及日常生活及节能环保、新能源、高端装备制造业等领域所需要的具有高强、高韧、高阻隔、高透明、耐高温、阻燃、耐磨、耐腐蚀、导电、绝缘、导热等性能的薄膜、容器、零配件、日用品、工程塑料等塑料制品；</w:t>
      </w:r>
      <w:r>
        <w:rPr>
          <w:rFonts w:hint="eastAsia" w:ascii="宋体" w:hAnsi="宋体" w:eastAsia="宋体" w:cs="宋体"/>
          <w:b/>
          <w:color w:val="000000" w:themeColor="text1"/>
          <w:sz w:val="21"/>
          <w:szCs w:val="21"/>
          <w:highlight w:val="none"/>
          <w14:textFill>
            <w14:solidFill>
              <w14:schemeClr w14:val="tx1"/>
            </w14:solidFill>
          </w14:textFill>
        </w:rPr>
        <w:t>轻量化：</w:t>
      </w:r>
      <w:r>
        <w:rPr>
          <w:rFonts w:hint="eastAsia" w:ascii="宋体" w:hAnsi="宋体" w:eastAsia="宋体" w:cs="宋体"/>
          <w:color w:val="000000" w:themeColor="text1"/>
          <w:sz w:val="21"/>
          <w:szCs w:val="21"/>
          <w:highlight w:val="none"/>
          <w14:textFill>
            <w14:solidFill>
              <w14:schemeClr w14:val="tx1"/>
            </w14:solidFill>
          </w14:textFill>
        </w:rPr>
        <w:t>大力开发塑料制品在满足所需功能前提下的减重新技术；</w:t>
      </w:r>
      <w:r>
        <w:rPr>
          <w:rFonts w:hint="eastAsia" w:ascii="宋体" w:hAnsi="宋体" w:eastAsia="宋体" w:cs="宋体"/>
          <w:b/>
          <w:color w:val="000000" w:themeColor="text1"/>
          <w:sz w:val="21"/>
          <w:szCs w:val="21"/>
          <w:highlight w:val="none"/>
          <w14:textFill>
            <w14:solidFill>
              <w14:schemeClr w14:val="tx1"/>
            </w14:solidFill>
          </w14:textFill>
        </w:rPr>
        <w:t>精密化：</w:t>
      </w:r>
      <w:r>
        <w:rPr>
          <w:rFonts w:hint="eastAsia" w:ascii="宋体" w:hAnsi="宋体" w:eastAsia="宋体" w:cs="宋体"/>
          <w:color w:val="000000" w:themeColor="text1"/>
          <w:sz w:val="21"/>
          <w:szCs w:val="21"/>
          <w:highlight w:val="none"/>
          <w14:textFill>
            <w14:solidFill>
              <w14:schemeClr w14:val="tx1"/>
            </w14:solidFill>
          </w14:textFill>
        </w:rPr>
        <w:t>大力开发具有特殊细微结构的用于精密设备、仪器，以及人体的高端微型塑料制品及精密注塑成型工艺、装备、模具等加工技术。</w:t>
      </w:r>
      <w:r>
        <w:rPr>
          <w:rFonts w:hint="eastAsia" w:ascii="宋体" w:hAnsi="宋体" w:eastAsia="宋体" w:cs="宋体"/>
          <w:b/>
          <w:color w:val="000000" w:themeColor="text1"/>
          <w:sz w:val="21"/>
          <w:szCs w:val="21"/>
          <w:highlight w:val="none"/>
          <w14:textFill>
            <w14:solidFill>
              <w14:schemeClr w14:val="tx1"/>
            </w14:solidFill>
          </w14:textFill>
        </w:rPr>
        <w:t>生态化：</w:t>
      </w:r>
      <w:r>
        <w:rPr>
          <w:rFonts w:hint="eastAsia" w:ascii="宋体" w:hAnsi="宋体" w:eastAsia="宋体" w:cs="宋体"/>
          <w:color w:val="000000" w:themeColor="text1"/>
          <w:sz w:val="21"/>
          <w:szCs w:val="21"/>
          <w:highlight w:val="none"/>
          <w14:textFill>
            <w14:solidFill>
              <w14:schemeClr w14:val="tx1"/>
            </w14:solidFill>
          </w14:textFill>
        </w:rPr>
        <w:t>加大先进节能环保技术、工艺和装备的研发、推广力度，加快塑料加工业绿色生态化改造升级；强化产品全生命周期管理，努力构建高效、清洁、低碳、循环的绿色生态化制造体系；推动可循环、易回收、可降解新技术新产品的开发应用，提高塑料废弃物资源化利用水平；积极推动相关国际公约的履约工作，推动ODS第二阶段替代工作，推进HBCD的禁止工作。</w:t>
      </w:r>
      <w:r>
        <w:rPr>
          <w:rFonts w:hint="eastAsia" w:ascii="宋体" w:hAnsi="宋体" w:eastAsia="宋体" w:cs="宋体"/>
          <w:b/>
          <w:color w:val="000000" w:themeColor="text1"/>
          <w:sz w:val="21"/>
          <w:szCs w:val="21"/>
          <w:highlight w:val="none"/>
          <w14:textFill>
            <w14:solidFill>
              <w14:schemeClr w14:val="tx1"/>
            </w14:solidFill>
          </w14:textFill>
        </w:rPr>
        <w:t>智能化：</w:t>
      </w:r>
      <w:r>
        <w:rPr>
          <w:rFonts w:hint="eastAsia" w:ascii="宋体" w:hAnsi="宋体" w:eastAsia="宋体" w:cs="宋体"/>
          <w:color w:val="000000" w:themeColor="text1"/>
          <w:sz w:val="21"/>
          <w:szCs w:val="21"/>
          <w:highlight w:val="none"/>
          <w14:textFill>
            <w14:solidFill>
              <w14:schemeClr w14:val="tx1"/>
            </w14:solidFill>
          </w14:textFill>
        </w:rPr>
        <w:t>以智能制造为主攻方向推动产业技术变革和优化升级，推进互联网、大数据、人工智能同塑料加工业深度融合，鼓励企业加强智能化建设，推动行业智能化共享平台建立，加强行业互联网基础设施建设，提高工业互联网应用水平，带动发展网络协同制造、大规模、个性化定制等新业态新模式，促进行业整体发展。</w:t>
      </w:r>
    </w:p>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522" w:name="_Toc11479"/>
      <w:bookmarkStart w:id="523" w:name="_Toc27716"/>
      <w:bookmarkStart w:id="524" w:name="_Toc11882"/>
      <w:bookmarkStart w:id="525" w:name="_Toc4005"/>
      <w:bookmarkStart w:id="526" w:name="_Toc9938"/>
      <w:bookmarkStart w:id="527" w:name="_Toc6212"/>
      <w:bookmarkStart w:id="528" w:name="_Toc8737"/>
      <w:bookmarkStart w:id="529" w:name="_Toc68512863"/>
      <w:bookmarkStart w:id="530" w:name="_Toc17263"/>
      <w:bookmarkStart w:id="531" w:name="_Toc12397"/>
      <w:bookmarkStart w:id="532" w:name="_Toc30941"/>
      <w:bookmarkStart w:id="533" w:name="_Toc16175"/>
      <w:bookmarkStart w:id="534" w:name="_Toc16767"/>
      <w:r>
        <w:rPr>
          <w:rFonts w:hint="eastAsia" w:ascii="宋体" w:hAnsi="宋体" w:eastAsia="宋体" w:cs="宋体"/>
          <w:color w:val="000000" w:themeColor="text1"/>
          <w:sz w:val="21"/>
          <w:szCs w:val="21"/>
          <w:highlight w:val="none"/>
          <w14:textFill>
            <w14:solidFill>
              <w14:schemeClr w14:val="tx1"/>
            </w14:solidFill>
          </w14:textFill>
        </w:rPr>
        <w:t>（五）促进集约化发展</w:t>
      </w:r>
      <w:bookmarkEnd w:id="522"/>
      <w:bookmarkEnd w:id="523"/>
      <w:bookmarkEnd w:id="524"/>
      <w:bookmarkEnd w:id="525"/>
      <w:bookmarkEnd w:id="526"/>
      <w:bookmarkEnd w:id="527"/>
      <w:bookmarkEnd w:id="528"/>
      <w:bookmarkEnd w:id="529"/>
      <w:bookmarkEnd w:id="530"/>
      <w:bookmarkEnd w:id="531"/>
      <w:bookmarkEnd w:id="532"/>
      <w:bookmarkEnd w:id="533"/>
      <w:bookmarkEnd w:id="534"/>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加强特色区域和产业集群建设，增强行业集聚度优势，推动塑料产业集聚发展，打造区域品牌。鼓励企业做大做强，支持行业龙头企业、科技型示范企业发展，加快资源的整合，引导企业战略合作和优势重组，放大产业的集聚效应和规模效应；扶持培育一批具有较强国际竞争力的企业，通过自主创新，不断缩小与发达国家塑料加工业的整体差距。引导行业内涵发展、理性发展，防范过度扩张引起的恶性竞争。</w:t>
      </w:r>
    </w:p>
    <w:bookmarkEnd w:id="521"/>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535" w:name="_Toc24059"/>
      <w:bookmarkStart w:id="536" w:name="_Toc20805"/>
      <w:bookmarkStart w:id="537" w:name="_Toc68512864"/>
      <w:bookmarkStart w:id="538" w:name="_Toc22423"/>
      <w:bookmarkStart w:id="539" w:name="_Toc1551"/>
      <w:bookmarkStart w:id="540" w:name="_Toc27347"/>
      <w:bookmarkStart w:id="541" w:name="_Toc16537"/>
      <w:bookmarkStart w:id="542" w:name="_Toc3912"/>
      <w:bookmarkStart w:id="543" w:name="_Toc2960"/>
      <w:bookmarkStart w:id="544" w:name="_Toc25848"/>
      <w:bookmarkStart w:id="545" w:name="_Toc7277"/>
      <w:bookmarkStart w:id="546" w:name="_Toc11087"/>
      <w:bookmarkStart w:id="547" w:name="_Toc52385193"/>
      <w:r>
        <w:rPr>
          <w:rFonts w:hint="eastAsia" w:ascii="宋体" w:hAnsi="宋体" w:eastAsia="宋体" w:cs="宋体"/>
          <w:color w:val="000000" w:themeColor="text1"/>
          <w:sz w:val="21"/>
          <w:szCs w:val="21"/>
          <w:highlight w:val="none"/>
          <w14:textFill>
            <w14:solidFill>
              <w14:schemeClr w14:val="tx1"/>
            </w14:solidFill>
          </w14:textFill>
        </w:rPr>
        <w:t>（六）完善标准体系建设</w:t>
      </w:r>
      <w:bookmarkEnd w:id="535"/>
      <w:bookmarkEnd w:id="536"/>
      <w:bookmarkEnd w:id="537"/>
      <w:bookmarkEnd w:id="538"/>
      <w:bookmarkEnd w:id="539"/>
      <w:bookmarkEnd w:id="540"/>
      <w:bookmarkEnd w:id="541"/>
      <w:bookmarkEnd w:id="542"/>
      <w:bookmarkEnd w:id="543"/>
      <w:bookmarkEnd w:id="544"/>
      <w:bookmarkEnd w:id="545"/>
      <w:bookmarkEnd w:id="546"/>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对标国际先进标准，推动国内一流、国际领先的团体标准、行业标准、国家标准制修订；强化标准的引领和支撑作用，做好产品标准及环保节能、安全指标、行业规范等相关标准的协调发展；协调、鼓励和支持企业、科研院所参与国际标准制定，加快我国塑料标准国际化进程；发挥企业在标准制定中的重要作用，协同推进产品研发与标准制定；加强满足创新需要的团体标准工作，增强标准创新能力；做好标准的宣传贯彻，大力推动标准实施；加大产品认证体系标准化建设。</w:t>
      </w:r>
    </w:p>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548" w:name="_Toc29801"/>
      <w:bookmarkStart w:id="549" w:name="_Toc31854"/>
      <w:bookmarkStart w:id="550" w:name="_Toc28265"/>
      <w:bookmarkStart w:id="551" w:name="_Toc30671"/>
      <w:bookmarkStart w:id="552" w:name="_Toc12446"/>
      <w:bookmarkStart w:id="553" w:name="_Toc3249"/>
      <w:bookmarkStart w:id="554" w:name="_Toc12694"/>
      <w:bookmarkStart w:id="555" w:name="_Toc8765"/>
      <w:bookmarkStart w:id="556" w:name="_Toc23207"/>
      <w:bookmarkStart w:id="557" w:name="_Toc9500"/>
      <w:bookmarkStart w:id="558" w:name="_Toc68512865"/>
      <w:bookmarkStart w:id="559" w:name="_Toc9781"/>
      <w:bookmarkStart w:id="560" w:name="_Toc14096"/>
      <w:bookmarkStart w:id="561" w:name="_Toc21410"/>
      <w:r>
        <w:rPr>
          <w:rFonts w:hint="eastAsia" w:ascii="宋体" w:hAnsi="宋体" w:eastAsia="宋体" w:cs="宋体"/>
          <w:color w:val="000000" w:themeColor="text1"/>
          <w:sz w:val="21"/>
          <w:szCs w:val="21"/>
          <w:highlight w:val="none"/>
          <w14:textFill>
            <w14:solidFill>
              <w14:schemeClr w14:val="tx1"/>
            </w14:solidFill>
          </w14:textFill>
        </w:rPr>
        <w:t>（七）建立多层次人才培养体系</w:t>
      </w:r>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组织实施制造业人才培养计划，加大专业技术人才、经营管理人才和技能人才的培养力度，完善从研发、转化、生产到管理的人才培养体系。以提高现代经营管理水平和企业竞争力为核心，培养造就一批优秀企业家和高水平经营管理人才；以高层次创新型人才为重点，在高等学校建设一批工程创新训练中心，打造高素质专业技术人才队伍；强化职业教育和技能培训，形成一支门类齐全、技艺精湛的技术技能人才队伍；加大制造业引智力度，引进领军人才和紧缺人才。</w:t>
      </w:r>
    </w:p>
    <w:bookmarkEnd w:id="547"/>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562" w:name="_Toc13043"/>
      <w:bookmarkStart w:id="563" w:name="_Toc68512866"/>
      <w:bookmarkStart w:id="564" w:name="_Toc16674"/>
      <w:bookmarkStart w:id="565" w:name="_Toc4021"/>
      <w:bookmarkStart w:id="566" w:name="_Toc27520"/>
      <w:bookmarkStart w:id="567" w:name="_Toc12935"/>
      <w:bookmarkStart w:id="568" w:name="_Toc30558"/>
      <w:bookmarkStart w:id="569" w:name="_Toc20330"/>
      <w:bookmarkStart w:id="570" w:name="_Toc8983"/>
      <w:bookmarkStart w:id="571" w:name="_Toc52385194"/>
      <w:bookmarkStart w:id="572" w:name="_Toc21626"/>
      <w:bookmarkStart w:id="573" w:name="_Toc9734"/>
      <w:bookmarkStart w:id="574" w:name="_Toc26101"/>
      <w:bookmarkStart w:id="575" w:name="_Toc19666"/>
      <w:bookmarkStart w:id="576" w:name="_Toc15314"/>
      <w:r>
        <w:rPr>
          <w:rFonts w:hint="eastAsia" w:ascii="宋体" w:hAnsi="宋体" w:eastAsia="宋体" w:cs="宋体"/>
          <w:color w:val="000000" w:themeColor="text1"/>
          <w:sz w:val="21"/>
          <w:szCs w:val="21"/>
          <w:highlight w:val="none"/>
          <w14:textFill>
            <w14:solidFill>
              <w14:schemeClr w14:val="tx1"/>
            </w14:solidFill>
          </w14:textFill>
        </w:rPr>
        <w:t>（八）提高国际化发展水平</w:t>
      </w:r>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以国内、国际双循环为指导思想，统筹两种资源、两个市场，拓展新的开放领域和空间，提升国际合作的水平和层次，引领重点龙头企业参与国际产业分工，提高国际竞争力；支持协助企业开拓国际市场，参与海外项目投标，拓展 “走出去”发展空间。推动产业合作由加工制造环节为主向合作研发、联合设计、市场营销、品牌培育等高端环节延伸，提高国际合作水平；创新加工贸易模式，延长加工贸易国内增值链条，推动加工贸易转型升级。</w:t>
      </w:r>
      <w:bookmarkEnd w:id="454"/>
      <w:bookmarkStart w:id="577" w:name="_Toc23821"/>
      <w:bookmarkStart w:id="578" w:name="_Toc22190"/>
      <w:bookmarkStart w:id="579" w:name="_Toc52385203"/>
      <w:bookmarkStart w:id="580" w:name="_Toc16682"/>
      <w:bookmarkStart w:id="581" w:name="_Toc567"/>
      <w:bookmarkStart w:id="582" w:name="_Toc68512867"/>
      <w:bookmarkStart w:id="583" w:name="_Toc10441"/>
      <w:bookmarkStart w:id="584" w:name="_Toc30896"/>
      <w:bookmarkStart w:id="585" w:name="_Toc17756"/>
      <w:bookmarkStart w:id="586" w:name="_Toc4194"/>
      <w:bookmarkStart w:id="587" w:name="_Toc28975"/>
      <w:bookmarkStart w:id="588" w:name="_Toc25687"/>
    </w:p>
    <w:p>
      <w:pPr>
        <w:pStyle w:val="3"/>
        <w:ind w:firstLine="420" w:firstLineChars="200"/>
        <w:jc w:val="both"/>
        <w:rPr>
          <w:rFonts w:hint="eastAsia" w:ascii="宋体" w:hAnsi="宋体" w:eastAsia="宋体" w:cs="宋体"/>
          <w:color w:val="000000" w:themeColor="text1"/>
          <w:sz w:val="21"/>
          <w:szCs w:val="21"/>
          <w:highlight w:val="none"/>
          <w14:textFill>
            <w14:solidFill>
              <w14:schemeClr w14:val="tx1"/>
            </w14:solidFill>
          </w14:textFill>
        </w:rPr>
      </w:pPr>
      <w:bookmarkStart w:id="589" w:name="_Toc25790"/>
      <w:bookmarkStart w:id="590" w:name="_Toc18861"/>
      <w:bookmarkStart w:id="591" w:name="_Toc16845"/>
      <w:bookmarkStart w:id="592" w:name="_Toc26740"/>
      <w:r>
        <w:rPr>
          <w:rFonts w:hint="eastAsia" w:ascii="宋体" w:hAnsi="宋体" w:eastAsia="宋体" w:cs="宋体"/>
          <w:b w:val="0"/>
          <w:bCs w:val="0"/>
          <w:color w:val="000000" w:themeColor="text1"/>
          <w:sz w:val="21"/>
          <w:szCs w:val="21"/>
          <w:highlight w:val="none"/>
          <w14:textFill>
            <w14:solidFill>
              <w14:schemeClr w14:val="tx1"/>
            </w14:solidFill>
          </w14:textFill>
        </w:rPr>
        <w:t>五、发展建议</w:t>
      </w:r>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r>
        <w:rPr>
          <w:rFonts w:hint="eastAsia" w:ascii="宋体" w:hAnsi="宋体" w:eastAsia="宋体" w:cs="宋体"/>
          <w:color w:val="000000" w:themeColor="text1"/>
          <w:sz w:val="21"/>
          <w:szCs w:val="21"/>
          <w:highlight w:val="none"/>
          <w14:textFill>
            <w14:solidFill>
              <w14:schemeClr w14:val="tx1"/>
            </w14:solidFill>
          </w14:textFill>
        </w:rPr>
        <w:t xml:space="preserve"> </w:t>
      </w:r>
    </w:p>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593" w:name="_Toc27074"/>
      <w:bookmarkStart w:id="594" w:name="_Toc32545"/>
      <w:bookmarkStart w:id="595" w:name="_Toc17887"/>
      <w:bookmarkStart w:id="596" w:name="_Toc3118"/>
      <w:bookmarkStart w:id="597" w:name="_Toc23348"/>
      <w:bookmarkStart w:id="598" w:name="_Toc29915"/>
      <w:bookmarkStart w:id="599" w:name="_Toc30460"/>
      <w:bookmarkStart w:id="600" w:name="_Toc68512868"/>
      <w:bookmarkStart w:id="601" w:name="_Toc22306"/>
      <w:bookmarkStart w:id="602" w:name="_Toc13398"/>
      <w:bookmarkStart w:id="603" w:name="_Toc28734"/>
      <w:bookmarkStart w:id="604" w:name="_Toc21535"/>
      <w:bookmarkStart w:id="605" w:name="_Toc22765"/>
      <w:r>
        <w:rPr>
          <w:rFonts w:hint="eastAsia" w:ascii="宋体" w:hAnsi="宋体" w:eastAsia="宋体" w:cs="宋体"/>
          <w:color w:val="000000" w:themeColor="text1"/>
          <w:sz w:val="21"/>
          <w:szCs w:val="21"/>
          <w:highlight w:val="none"/>
          <w14:textFill>
            <w14:solidFill>
              <w14:schemeClr w14:val="tx1"/>
            </w14:solidFill>
          </w14:textFill>
        </w:rPr>
        <w:t>（一）强化顶层设计</w:t>
      </w:r>
      <w:bookmarkEnd w:id="593"/>
      <w:bookmarkEnd w:id="594"/>
      <w:bookmarkEnd w:id="595"/>
      <w:bookmarkEnd w:id="596"/>
      <w:bookmarkEnd w:id="597"/>
      <w:bookmarkEnd w:id="598"/>
      <w:bookmarkEnd w:id="599"/>
      <w:bookmarkEnd w:id="600"/>
      <w:bookmarkEnd w:id="601"/>
      <w:bookmarkEnd w:id="602"/>
      <w:bookmarkEnd w:id="603"/>
      <w:bookmarkEnd w:id="604"/>
      <w:bookmarkEnd w:id="605"/>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推动将塑料行业纳入到国家产业政策重点支持行业；推动国家通过金融、税收、财政补贴、出口退税、专项发展资金、创投风投基金和政府采购等政策措施，加强对塑料行业的政策和资金支持。积极支持、参与国家和地方相关产业政策、法律法规、行业规划制定，为行业可持续发展提供优质服务。</w:t>
      </w:r>
    </w:p>
    <w:p>
      <w:pPr>
        <w:pStyle w:val="4"/>
        <w:numPr>
          <w:ilvl w:val="0"/>
          <w:numId w:val="2"/>
        </w:numPr>
        <w:jc w:val="both"/>
        <w:rPr>
          <w:rFonts w:hint="eastAsia" w:ascii="宋体" w:hAnsi="宋体" w:eastAsia="宋体" w:cs="宋体"/>
          <w:color w:val="000000" w:themeColor="text1"/>
          <w:sz w:val="21"/>
          <w:szCs w:val="21"/>
          <w:highlight w:val="none"/>
          <w14:textFill>
            <w14:solidFill>
              <w14:schemeClr w14:val="tx1"/>
            </w14:solidFill>
          </w14:textFill>
        </w:rPr>
      </w:pPr>
      <w:bookmarkStart w:id="606" w:name="_Toc15809"/>
      <w:bookmarkStart w:id="607" w:name="_Toc14672"/>
      <w:bookmarkStart w:id="608" w:name="_Toc20371"/>
      <w:bookmarkStart w:id="609" w:name="_Toc15669"/>
      <w:bookmarkStart w:id="610" w:name="_Toc68512869"/>
      <w:bookmarkStart w:id="611" w:name="_Toc10669"/>
      <w:bookmarkStart w:id="612" w:name="_Toc32332"/>
      <w:bookmarkStart w:id="613" w:name="_Toc19124"/>
      <w:bookmarkStart w:id="614" w:name="_Toc26260"/>
      <w:bookmarkStart w:id="615" w:name="_Toc1150"/>
      <w:bookmarkStart w:id="616" w:name="_Toc15093"/>
      <w:bookmarkStart w:id="617" w:name="_Toc29336"/>
      <w:r>
        <w:rPr>
          <w:rFonts w:hint="eastAsia" w:ascii="宋体" w:hAnsi="宋体" w:eastAsia="宋体" w:cs="宋体"/>
          <w:color w:val="000000" w:themeColor="text1"/>
          <w:sz w:val="21"/>
          <w:szCs w:val="21"/>
          <w:highlight w:val="none"/>
          <w14:textFill>
            <w14:solidFill>
              <w14:schemeClr w14:val="tx1"/>
            </w14:solidFill>
          </w14:textFill>
        </w:rPr>
        <w:t>引导创新发展</w:t>
      </w:r>
      <w:bookmarkEnd w:id="606"/>
      <w:bookmarkEnd w:id="607"/>
      <w:bookmarkEnd w:id="608"/>
      <w:bookmarkEnd w:id="609"/>
      <w:bookmarkEnd w:id="610"/>
      <w:bookmarkEnd w:id="611"/>
      <w:bookmarkEnd w:id="612"/>
      <w:bookmarkEnd w:id="613"/>
      <w:bookmarkEnd w:id="614"/>
      <w:bookmarkEnd w:id="615"/>
      <w:bookmarkEnd w:id="616"/>
      <w:bookmarkEnd w:id="617"/>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充分发挥好院士和专家团队的作用，推动产学研金用深度融合，推进科技成果转化，引导组建科技创新工作组；聚焦塑料加工前沿技术和共性关键技术研发与成果转化，推动行业技术进步；实施科技人才发展战略，通过研究资助、信息化建设、在职培训与教育等措施不断提高行业人员技术素养，形成一批具有国际先进水平的创新人才团队；支持塑料加工技术创新公共服务科研平台建设，加强重点实验室、工程（技术）研究中心、企业技术中心、检测中心的建设，不断提高行业企业创新研发水平。</w:t>
      </w:r>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探索把握国家更高水平开放、信息化发展成果和新业态发展模式为企业经营管理带来的机遇，不断提高企业经营管理效率。</w:t>
      </w:r>
    </w:p>
    <w:p>
      <w:pPr>
        <w:pStyle w:val="4"/>
        <w:numPr>
          <w:ilvl w:val="0"/>
          <w:numId w:val="2"/>
        </w:numPr>
        <w:jc w:val="both"/>
        <w:rPr>
          <w:rFonts w:hint="eastAsia" w:ascii="宋体" w:hAnsi="宋体" w:eastAsia="宋体" w:cs="宋体"/>
          <w:color w:val="000000" w:themeColor="text1"/>
          <w:sz w:val="21"/>
          <w:szCs w:val="21"/>
          <w:highlight w:val="none"/>
          <w14:textFill>
            <w14:solidFill>
              <w14:schemeClr w14:val="tx1"/>
            </w14:solidFill>
          </w14:textFill>
        </w:rPr>
      </w:pPr>
      <w:bookmarkStart w:id="618" w:name="_Toc13130"/>
      <w:bookmarkStart w:id="619" w:name="_Toc68512870"/>
      <w:bookmarkStart w:id="620" w:name="_Toc11747"/>
      <w:bookmarkStart w:id="621" w:name="_Toc7767"/>
      <w:bookmarkStart w:id="622" w:name="_Toc21813"/>
      <w:bookmarkStart w:id="623" w:name="_Toc23810"/>
      <w:bookmarkStart w:id="624" w:name="_Toc2091"/>
      <w:bookmarkStart w:id="625" w:name="_Toc18135"/>
      <w:bookmarkStart w:id="626" w:name="_Toc21763"/>
      <w:bookmarkStart w:id="627" w:name="_Toc24749"/>
      <w:bookmarkStart w:id="628" w:name="_Toc17985"/>
      <w:bookmarkStart w:id="629" w:name="_Toc14787"/>
      <w:r>
        <w:rPr>
          <w:rFonts w:hint="eastAsia" w:ascii="宋体" w:hAnsi="宋体" w:eastAsia="宋体" w:cs="宋体"/>
          <w:color w:val="000000" w:themeColor="text1"/>
          <w:sz w:val="21"/>
          <w:szCs w:val="21"/>
          <w:highlight w:val="none"/>
          <w14:textFill>
            <w14:solidFill>
              <w14:schemeClr w14:val="tx1"/>
            </w14:solidFill>
          </w14:textFill>
        </w:rPr>
        <w:t>加强诚信建设</w:t>
      </w:r>
      <w:bookmarkEnd w:id="618"/>
      <w:bookmarkEnd w:id="619"/>
      <w:bookmarkEnd w:id="620"/>
      <w:bookmarkEnd w:id="621"/>
      <w:bookmarkEnd w:id="622"/>
      <w:bookmarkEnd w:id="623"/>
      <w:bookmarkEnd w:id="624"/>
      <w:bookmarkEnd w:id="625"/>
      <w:bookmarkEnd w:id="626"/>
      <w:bookmarkEnd w:id="627"/>
      <w:bookmarkEnd w:id="628"/>
      <w:bookmarkEnd w:id="629"/>
    </w:p>
    <w:p>
      <w:pPr>
        <w:widowControl/>
        <w:shd w:val="clear" w:color="auto" w:fill="FFFFFF"/>
        <w:ind w:firstLine="420" w:firstLineChars="200"/>
        <w:jc w:val="left"/>
        <w:rPr>
          <w:rFonts w:hint="eastAsia" w:ascii="宋体" w:hAnsi="宋体" w:eastAsia="宋体" w:cs="宋体"/>
          <w:color w:val="000000" w:themeColor="text1"/>
          <w:sz w:val="21"/>
          <w:szCs w:val="21"/>
          <w:highlight w:val="none"/>
          <w14:textFill>
            <w14:solidFill>
              <w14:schemeClr w14:val="tx1"/>
            </w14:solidFill>
          </w14:textFill>
        </w:rPr>
      </w:pPr>
      <w:bookmarkStart w:id="630" w:name="_Toc18580"/>
      <w:r>
        <w:rPr>
          <w:rFonts w:hint="eastAsia" w:ascii="宋体" w:hAnsi="宋体" w:eastAsia="宋体" w:cs="宋体"/>
          <w:color w:val="000000" w:themeColor="text1"/>
          <w:sz w:val="21"/>
          <w:szCs w:val="21"/>
          <w:highlight w:val="none"/>
          <w14:textFill>
            <w14:solidFill>
              <w14:schemeClr w14:val="tx1"/>
            </w14:solidFill>
          </w14:textFill>
        </w:rPr>
        <w:t>配合</w:t>
      </w:r>
      <w:r>
        <w:rPr>
          <w:rFonts w:hint="eastAsia" w:ascii="宋体" w:hAnsi="宋体" w:eastAsia="宋体" w:cs="宋体"/>
          <w:color w:val="000000" w:themeColor="text1"/>
          <w:spacing w:val="15"/>
          <w:kern w:val="0"/>
          <w:sz w:val="21"/>
          <w:szCs w:val="21"/>
          <w:highlight w:val="none"/>
          <w14:textFill>
            <w14:solidFill>
              <w14:schemeClr w14:val="tx1"/>
            </w14:solidFill>
          </w14:textFill>
        </w:rPr>
        <w:t>实施高标准市场体系建设行动，</w:t>
      </w:r>
      <w:r>
        <w:rPr>
          <w:rFonts w:hint="eastAsia" w:ascii="宋体" w:hAnsi="宋体" w:eastAsia="宋体" w:cs="宋体"/>
          <w:color w:val="000000" w:themeColor="text1"/>
          <w:sz w:val="21"/>
          <w:szCs w:val="21"/>
          <w:highlight w:val="none"/>
          <w14:textFill>
            <w14:solidFill>
              <w14:schemeClr w14:val="tx1"/>
            </w14:solidFill>
          </w14:textFill>
        </w:rPr>
        <w:t>在塑料加工行业营造诚实守信的市场环境，积极打造塑料行业良好市场营商氛围，推动行业质量、卫生、安全、环境等方面体系建设，促进行业有序健康发展。</w:t>
      </w:r>
      <w:bookmarkEnd w:id="630"/>
    </w:p>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631" w:name="_Toc68512871"/>
      <w:bookmarkStart w:id="632" w:name="_Toc32158"/>
      <w:bookmarkStart w:id="633" w:name="_Toc18129"/>
      <w:bookmarkStart w:id="634" w:name="_Toc9912"/>
      <w:bookmarkStart w:id="635" w:name="_Toc7784"/>
      <w:bookmarkStart w:id="636" w:name="_Toc28621"/>
      <w:bookmarkStart w:id="637" w:name="_Toc23575"/>
      <w:bookmarkStart w:id="638" w:name="_Toc4340"/>
      <w:bookmarkStart w:id="639" w:name="_Toc16069"/>
      <w:bookmarkStart w:id="640" w:name="_Toc19112"/>
      <w:bookmarkStart w:id="641" w:name="_Toc23984"/>
      <w:bookmarkStart w:id="642" w:name="_Toc4379"/>
      <w:bookmarkStart w:id="643" w:name="_Toc26476"/>
      <w:r>
        <w:rPr>
          <w:rFonts w:hint="eastAsia" w:ascii="宋体" w:hAnsi="宋体" w:eastAsia="宋体" w:cs="宋体"/>
          <w:color w:val="000000" w:themeColor="text1"/>
          <w:sz w:val="21"/>
          <w:szCs w:val="21"/>
          <w:highlight w:val="none"/>
          <w14:textFill>
            <w14:solidFill>
              <w14:schemeClr w14:val="tx1"/>
            </w14:solidFill>
          </w14:textFill>
        </w:rPr>
        <w:t>（四）发挥金融工具</w:t>
      </w:r>
      <w:bookmarkEnd w:id="631"/>
      <w:bookmarkEnd w:id="632"/>
      <w:bookmarkEnd w:id="633"/>
      <w:bookmarkEnd w:id="634"/>
      <w:bookmarkEnd w:id="635"/>
      <w:bookmarkEnd w:id="636"/>
      <w:bookmarkEnd w:id="637"/>
      <w:bookmarkEnd w:id="638"/>
      <w:bookmarkEnd w:id="639"/>
      <w:bookmarkEnd w:id="640"/>
      <w:bookmarkEnd w:id="641"/>
      <w:bookmarkEnd w:id="642"/>
      <w:r>
        <w:rPr>
          <w:rFonts w:hint="eastAsia" w:ascii="宋体" w:hAnsi="宋体" w:eastAsia="宋体" w:cs="宋体"/>
          <w:color w:val="000000" w:themeColor="text1"/>
          <w:sz w:val="21"/>
          <w:szCs w:val="21"/>
          <w:highlight w:val="none"/>
          <w14:textFill>
            <w14:solidFill>
              <w14:schemeClr w14:val="tx1"/>
            </w14:solidFill>
          </w14:textFill>
        </w:rPr>
        <w:t>助力作用</w:t>
      </w:r>
      <w:bookmarkEnd w:id="643"/>
    </w:p>
    <w:p>
      <w:pPr>
        <w:pStyle w:val="14"/>
        <w:shd w:val="clear" w:color="auto" w:fill="FFFFFF"/>
        <w:spacing w:before="0" w:beforeAutospacing="0" w:after="0" w:afterAutospacing="0"/>
        <w:ind w:firstLine="420" w:firstLineChars="200"/>
        <w:jc w:val="both"/>
        <w:rPr>
          <w:rFonts w:hint="eastAsia" w:ascii="宋体" w:hAnsi="宋体" w:eastAsia="宋体" w:cs="宋体"/>
          <w:color w:val="000000" w:themeColor="text1"/>
          <w:sz w:val="21"/>
          <w:szCs w:val="21"/>
          <w:highlight w:val="none"/>
          <w14:textFill>
            <w14:solidFill>
              <w14:schemeClr w14:val="tx1"/>
            </w14:solidFill>
          </w14:textFill>
        </w:rPr>
      </w:pPr>
      <w:bookmarkStart w:id="644" w:name="_Toc2904"/>
      <w:r>
        <w:rPr>
          <w:rFonts w:hint="eastAsia" w:ascii="宋体" w:hAnsi="宋体" w:eastAsia="宋体" w:cs="宋体"/>
          <w:color w:val="000000" w:themeColor="text1"/>
          <w:sz w:val="21"/>
          <w:szCs w:val="21"/>
          <w:highlight w:val="none"/>
          <w14:textFill>
            <w14:solidFill>
              <w14:schemeClr w14:val="tx1"/>
            </w14:solidFill>
          </w14:textFill>
        </w:rPr>
        <w:t>金融工具对于促进行业资本积累、生产率提高和经营风险规避、资源有效整合等有着重要意义。要用好金融工具助力行业发展，鼓励企业利用银行贷款、优秀企业发行股票和债券等方式助力运营，利用期货、期权、远期合约、期货合约、期权合约和互换合约等金融衍生工具在资金的筹集管理、项目的投资管理、资金结算管理、投资套利中发挥作用。</w:t>
      </w:r>
      <w:bookmarkEnd w:id="644"/>
    </w:p>
    <w:p>
      <w:pPr>
        <w:pStyle w:val="4"/>
        <w:jc w:val="both"/>
        <w:rPr>
          <w:rFonts w:hint="eastAsia" w:ascii="宋体" w:hAnsi="宋体" w:eastAsia="宋体" w:cs="宋体"/>
          <w:color w:val="000000" w:themeColor="text1"/>
          <w:sz w:val="21"/>
          <w:szCs w:val="21"/>
          <w:highlight w:val="none"/>
          <w14:textFill>
            <w14:solidFill>
              <w14:schemeClr w14:val="tx1"/>
            </w14:solidFill>
          </w14:textFill>
        </w:rPr>
      </w:pPr>
      <w:bookmarkStart w:id="645" w:name="_Toc22509"/>
      <w:bookmarkStart w:id="646" w:name="_Toc3532"/>
      <w:bookmarkStart w:id="647" w:name="_Toc12357"/>
      <w:bookmarkStart w:id="648" w:name="_Toc17325"/>
      <w:bookmarkStart w:id="649" w:name="_Toc25775"/>
      <w:bookmarkStart w:id="650" w:name="_Toc27224"/>
      <w:bookmarkStart w:id="651" w:name="_Toc14212"/>
      <w:bookmarkStart w:id="652" w:name="_Toc836"/>
      <w:bookmarkStart w:id="653" w:name="_Toc16081"/>
      <w:bookmarkStart w:id="654" w:name="_Toc27876"/>
      <w:bookmarkStart w:id="655" w:name="_Toc68512872"/>
      <w:bookmarkStart w:id="656" w:name="_Toc21983"/>
      <w:r>
        <w:rPr>
          <w:rFonts w:hint="eastAsia" w:ascii="宋体" w:hAnsi="宋体" w:eastAsia="宋体" w:cs="宋体"/>
          <w:color w:val="000000" w:themeColor="text1"/>
          <w:sz w:val="21"/>
          <w:szCs w:val="21"/>
          <w:highlight w:val="none"/>
          <w14:textFill>
            <w14:solidFill>
              <w14:schemeClr w14:val="tx1"/>
            </w14:solidFill>
          </w14:textFill>
        </w:rPr>
        <w:t>（五）推动绿色生态化发展</w:t>
      </w:r>
      <w:bookmarkEnd w:id="645"/>
      <w:bookmarkEnd w:id="646"/>
      <w:bookmarkEnd w:id="647"/>
      <w:bookmarkEnd w:id="648"/>
      <w:bookmarkEnd w:id="649"/>
      <w:bookmarkEnd w:id="650"/>
      <w:bookmarkEnd w:id="651"/>
      <w:bookmarkEnd w:id="652"/>
      <w:bookmarkEnd w:id="653"/>
      <w:bookmarkEnd w:id="654"/>
      <w:bookmarkEnd w:id="655"/>
      <w:bookmarkEnd w:id="656"/>
    </w:p>
    <w:p>
      <w:pPr>
        <w:ind w:firstLine="420" w:firstLineChars="200"/>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推动塑料回收再生利用发展，加强可回收材料高值化应用技术；引导、研发、推广可循环、易回收、可降解新技术新产品；支持节能减排先进技术的示范与推广应用，加强部分产品生产中的挥发性有机污染（VOC）排放治理，</w:t>
      </w:r>
      <w:r>
        <w:rPr>
          <w:rFonts w:hint="eastAsia" w:ascii="宋体" w:hAnsi="宋体" w:eastAsia="宋体" w:cs="宋体"/>
          <w:color w:val="000000" w:themeColor="text1"/>
          <w:sz w:val="21"/>
          <w:szCs w:val="21"/>
          <w:highlight w:val="none"/>
          <w:shd w:val="clear" w:color="auto" w:fill="FFFFFF"/>
          <w14:textFill>
            <w14:solidFill>
              <w14:schemeClr w14:val="tx1"/>
            </w14:solidFill>
          </w14:textFill>
        </w:rPr>
        <w:t>科学、务实</w:t>
      </w:r>
      <w:r>
        <w:rPr>
          <w:rFonts w:hint="eastAsia" w:ascii="宋体" w:hAnsi="宋体" w:eastAsia="宋体" w:cs="宋体"/>
          <w:color w:val="000000" w:themeColor="text1"/>
          <w:sz w:val="21"/>
          <w:szCs w:val="21"/>
          <w:highlight w:val="none"/>
          <w14:textFill>
            <w14:solidFill>
              <w14:schemeClr w14:val="tx1"/>
            </w14:solidFill>
          </w14:textFill>
        </w:rPr>
        <w:t>研究行业</w:t>
      </w:r>
      <w:r>
        <w:rPr>
          <w:rFonts w:hint="eastAsia" w:ascii="宋体" w:hAnsi="宋体" w:eastAsia="宋体" w:cs="宋体"/>
          <w:color w:val="000000" w:themeColor="text1"/>
          <w:sz w:val="21"/>
          <w:szCs w:val="21"/>
          <w:highlight w:val="none"/>
          <w:shd w:val="clear" w:color="auto" w:fill="FFFFFF"/>
          <w14:textFill>
            <w14:solidFill>
              <w14:schemeClr w14:val="tx1"/>
            </w14:solidFill>
          </w14:textFill>
        </w:rPr>
        <w:t>二氧化碳排放达峰目标及工作方案</w:t>
      </w:r>
      <w:r>
        <w:rPr>
          <w:rFonts w:hint="eastAsia" w:ascii="宋体" w:hAnsi="宋体" w:eastAsia="宋体" w:cs="宋体"/>
          <w:color w:val="000000" w:themeColor="text1"/>
          <w:sz w:val="21"/>
          <w:szCs w:val="21"/>
          <w:highlight w:val="none"/>
          <w14:textFill>
            <w14:solidFill>
              <w14:schemeClr w14:val="tx1"/>
            </w14:solidFill>
          </w14:textFill>
        </w:rPr>
        <w:t>，实现经济、社会、生态环境协调发展。</w:t>
      </w: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53719116"/>
    </w:sdtPr>
    <w:sdtContent>
      <w:p>
        <w:pPr>
          <w:pStyle w:val="11"/>
          <w:jc w:val="center"/>
        </w:pPr>
        <w:r>
          <w:fldChar w:fldCharType="begin"/>
        </w:r>
        <w:r>
          <w:instrText xml:space="preserve">PAGE   \* MERGEFORMAT</w:instrText>
        </w:r>
        <w:r>
          <w:fldChar w:fldCharType="separate"/>
        </w:r>
        <w:r>
          <w:rPr>
            <w:lang w:val="zh-CN"/>
          </w:rPr>
          <w:t>8</w:t>
        </w:r>
        <w:r>
          <w:fldChar w:fldCharType="end"/>
        </w:r>
      </w:p>
    </w:sdtContent>
  </w:sdt>
  <w:p>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BD7C73"/>
    <w:multiLevelType w:val="singleLevel"/>
    <w:tmpl w:val="33BD7C73"/>
    <w:lvl w:ilvl="0" w:tentative="0">
      <w:start w:val="2"/>
      <w:numFmt w:val="chineseCounting"/>
      <w:suff w:val="nothing"/>
      <w:lvlText w:val="（%1）"/>
      <w:lvlJc w:val="left"/>
      <w:rPr>
        <w:rFonts w:hint="eastAsia"/>
      </w:rPr>
    </w:lvl>
  </w:abstractNum>
  <w:abstractNum w:abstractNumId="1">
    <w:nsid w:val="3AA804C0"/>
    <w:multiLevelType w:val="singleLevel"/>
    <w:tmpl w:val="3AA804C0"/>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15C7"/>
    <w:rsid w:val="00001D1D"/>
    <w:rsid w:val="0001690D"/>
    <w:rsid w:val="000175FA"/>
    <w:rsid w:val="00020FA6"/>
    <w:rsid w:val="00025A4B"/>
    <w:rsid w:val="00025D34"/>
    <w:rsid w:val="00035D90"/>
    <w:rsid w:val="00042449"/>
    <w:rsid w:val="00042BE3"/>
    <w:rsid w:val="00051A98"/>
    <w:rsid w:val="00054882"/>
    <w:rsid w:val="0006654F"/>
    <w:rsid w:val="00071949"/>
    <w:rsid w:val="000914ED"/>
    <w:rsid w:val="00097192"/>
    <w:rsid w:val="00097B20"/>
    <w:rsid w:val="000A7106"/>
    <w:rsid w:val="000B2CA3"/>
    <w:rsid w:val="000B3CC2"/>
    <w:rsid w:val="000B4513"/>
    <w:rsid w:val="000E384E"/>
    <w:rsid w:val="000F284C"/>
    <w:rsid w:val="00102190"/>
    <w:rsid w:val="001025FD"/>
    <w:rsid w:val="0012479C"/>
    <w:rsid w:val="00133753"/>
    <w:rsid w:val="001340FD"/>
    <w:rsid w:val="001409D8"/>
    <w:rsid w:val="001412B1"/>
    <w:rsid w:val="001415C7"/>
    <w:rsid w:val="00143F94"/>
    <w:rsid w:val="0016643C"/>
    <w:rsid w:val="0017184F"/>
    <w:rsid w:val="0017609E"/>
    <w:rsid w:val="00191162"/>
    <w:rsid w:val="0019352F"/>
    <w:rsid w:val="00194F07"/>
    <w:rsid w:val="001B1EFE"/>
    <w:rsid w:val="001B7CE4"/>
    <w:rsid w:val="001C0CD0"/>
    <w:rsid w:val="001C13E4"/>
    <w:rsid w:val="001C541D"/>
    <w:rsid w:val="001D2894"/>
    <w:rsid w:val="001E3443"/>
    <w:rsid w:val="001E79BC"/>
    <w:rsid w:val="00201190"/>
    <w:rsid w:val="002113B5"/>
    <w:rsid w:val="002474A1"/>
    <w:rsid w:val="002534BA"/>
    <w:rsid w:val="00256D6B"/>
    <w:rsid w:val="002576D4"/>
    <w:rsid w:val="0026044D"/>
    <w:rsid w:val="0026087F"/>
    <w:rsid w:val="00265037"/>
    <w:rsid w:val="00273480"/>
    <w:rsid w:val="00277F40"/>
    <w:rsid w:val="0028162C"/>
    <w:rsid w:val="00281BEC"/>
    <w:rsid w:val="00295065"/>
    <w:rsid w:val="00297D1F"/>
    <w:rsid w:val="002A1825"/>
    <w:rsid w:val="002A2276"/>
    <w:rsid w:val="002B1428"/>
    <w:rsid w:val="002B4734"/>
    <w:rsid w:val="002C2D74"/>
    <w:rsid w:val="002C464C"/>
    <w:rsid w:val="002D0FC6"/>
    <w:rsid w:val="002D45BA"/>
    <w:rsid w:val="002E2B1C"/>
    <w:rsid w:val="002E2B72"/>
    <w:rsid w:val="002F27F2"/>
    <w:rsid w:val="00303204"/>
    <w:rsid w:val="00311AE4"/>
    <w:rsid w:val="00325B5D"/>
    <w:rsid w:val="00331C95"/>
    <w:rsid w:val="0033248B"/>
    <w:rsid w:val="003419D7"/>
    <w:rsid w:val="003436A3"/>
    <w:rsid w:val="003464C2"/>
    <w:rsid w:val="003468B1"/>
    <w:rsid w:val="003553A2"/>
    <w:rsid w:val="0035552F"/>
    <w:rsid w:val="00390F9D"/>
    <w:rsid w:val="003A5370"/>
    <w:rsid w:val="003A75F7"/>
    <w:rsid w:val="003B37B9"/>
    <w:rsid w:val="003C7880"/>
    <w:rsid w:val="003D332A"/>
    <w:rsid w:val="003D5CD5"/>
    <w:rsid w:val="003F7667"/>
    <w:rsid w:val="00400D66"/>
    <w:rsid w:val="00412300"/>
    <w:rsid w:val="0041671C"/>
    <w:rsid w:val="00420115"/>
    <w:rsid w:val="0042701E"/>
    <w:rsid w:val="0043741F"/>
    <w:rsid w:val="004756A4"/>
    <w:rsid w:val="004A1E6A"/>
    <w:rsid w:val="004B56ED"/>
    <w:rsid w:val="004E6476"/>
    <w:rsid w:val="004F3404"/>
    <w:rsid w:val="004F50F6"/>
    <w:rsid w:val="00502684"/>
    <w:rsid w:val="0051440B"/>
    <w:rsid w:val="00527EDD"/>
    <w:rsid w:val="005412E5"/>
    <w:rsid w:val="005441BD"/>
    <w:rsid w:val="00547095"/>
    <w:rsid w:val="00547242"/>
    <w:rsid w:val="00551377"/>
    <w:rsid w:val="005568AF"/>
    <w:rsid w:val="00572232"/>
    <w:rsid w:val="00573DC2"/>
    <w:rsid w:val="0059358A"/>
    <w:rsid w:val="005A44D2"/>
    <w:rsid w:val="005C3720"/>
    <w:rsid w:val="005C5D5D"/>
    <w:rsid w:val="005F1E7A"/>
    <w:rsid w:val="00600C48"/>
    <w:rsid w:val="00602878"/>
    <w:rsid w:val="00605AD7"/>
    <w:rsid w:val="00612617"/>
    <w:rsid w:val="0061489A"/>
    <w:rsid w:val="0062119C"/>
    <w:rsid w:val="00632167"/>
    <w:rsid w:val="00634A56"/>
    <w:rsid w:val="00635B34"/>
    <w:rsid w:val="006477CA"/>
    <w:rsid w:val="00652F07"/>
    <w:rsid w:val="00654621"/>
    <w:rsid w:val="006735DD"/>
    <w:rsid w:val="00681E03"/>
    <w:rsid w:val="00697D7D"/>
    <w:rsid w:val="006A62D4"/>
    <w:rsid w:val="006B701A"/>
    <w:rsid w:val="006C1607"/>
    <w:rsid w:val="006C27A3"/>
    <w:rsid w:val="006C40E9"/>
    <w:rsid w:val="006C570C"/>
    <w:rsid w:val="006D275B"/>
    <w:rsid w:val="006D2A6B"/>
    <w:rsid w:val="006D6C6D"/>
    <w:rsid w:val="006E6283"/>
    <w:rsid w:val="00704294"/>
    <w:rsid w:val="00705D43"/>
    <w:rsid w:val="00706047"/>
    <w:rsid w:val="007100CE"/>
    <w:rsid w:val="00710121"/>
    <w:rsid w:val="00714A0B"/>
    <w:rsid w:val="007164A6"/>
    <w:rsid w:val="00733B31"/>
    <w:rsid w:val="00746359"/>
    <w:rsid w:val="00771379"/>
    <w:rsid w:val="00781832"/>
    <w:rsid w:val="00781BE6"/>
    <w:rsid w:val="007839F8"/>
    <w:rsid w:val="00791F6B"/>
    <w:rsid w:val="007A041B"/>
    <w:rsid w:val="007A76B2"/>
    <w:rsid w:val="007E01C4"/>
    <w:rsid w:val="007E6D2C"/>
    <w:rsid w:val="007E738B"/>
    <w:rsid w:val="007F0FB7"/>
    <w:rsid w:val="007F4AB4"/>
    <w:rsid w:val="007F5F3D"/>
    <w:rsid w:val="008163B1"/>
    <w:rsid w:val="00826A62"/>
    <w:rsid w:val="00841FC8"/>
    <w:rsid w:val="00842AC5"/>
    <w:rsid w:val="0084690E"/>
    <w:rsid w:val="00847424"/>
    <w:rsid w:val="0085262A"/>
    <w:rsid w:val="00853737"/>
    <w:rsid w:val="00862E5B"/>
    <w:rsid w:val="008635C8"/>
    <w:rsid w:val="00873A39"/>
    <w:rsid w:val="00874FB3"/>
    <w:rsid w:val="008B385B"/>
    <w:rsid w:val="008C2804"/>
    <w:rsid w:val="008C78A4"/>
    <w:rsid w:val="008E50A3"/>
    <w:rsid w:val="008E6003"/>
    <w:rsid w:val="0091200E"/>
    <w:rsid w:val="00926A60"/>
    <w:rsid w:val="00937465"/>
    <w:rsid w:val="0094697D"/>
    <w:rsid w:val="00951D50"/>
    <w:rsid w:val="009521C8"/>
    <w:rsid w:val="00953AA1"/>
    <w:rsid w:val="0096058A"/>
    <w:rsid w:val="009717AF"/>
    <w:rsid w:val="009745B9"/>
    <w:rsid w:val="009827E3"/>
    <w:rsid w:val="009911BF"/>
    <w:rsid w:val="009917E3"/>
    <w:rsid w:val="0099403B"/>
    <w:rsid w:val="009A0642"/>
    <w:rsid w:val="009A2A0F"/>
    <w:rsid w:val="009A3D8B"/>
    <w:rsid w:val="009A7117"/>
    <w:rsid w:val="009B28A3"/>
    <w:rsid w:val="009C36BB"/>
    <w:rsid w:val="009D03F9"/>
    <w:rsid w:val="00A04A7B"/>
    <w:rsid w:val="00A14FB7"/>
    <w:rsid w:val="00A30C98"/>
    <w:rsid w:val="00A31D4C"/>
    <w:rsid w:val="00A438C8"/>
    <w:rsid w:val="00A65AFC"/>
    <w:rsid w:val="00A7322F"/>
    <w:rsid w:val="00A75114"/>
    <w:rsid w:val="00A80E5C"/>
    <w:rsid w:val="00A911D0"/>
    <w:rsid w:val="00A91480"/>
    <w:rsid w:val="00A92156"/>
    <w:rsid w:val="00AA23B5"/>
    <w:rsid w:val="00AA6050"/>
    <w:rsid w:val="00AC0A94"/>
    <w:rsid w:val="00AC11F8"/>
    <w:rsid w:val="00AC3B92"/>
    <w:rsid w:val="00AC3BF3"/>
    <w:rsid w:val="00AD15F7"/>
    <w:rsid w:val="00AE341B"/>
    <w:rsid w:val="00AF51C5"/>
    <w:rsid w:val="00AF576B"/>
    <w:rsid w:val="00B03541"/>
    <w:rsid w:val="00B15233"/>
    <w:rsid w:val="00B20B1A"/>
    <w:rsid w:val="00B245CB"/>
    <w:rsid w:val="00B42E8F"/>
    <w:rsid w:val="00B45954"/>
    <w:rsid w:val="00B54F67"/>
    <w:rsid w:val="00B573B3"/>
    <w:rsid w:val="00B57FEE"/>
    <w:rsid w:val="00B70E2C"/>
    <w:rsid w:val="00B722C0"/>
    <w:rsid w:val="00B7440F"/>
    <w:rsid w:val="00B806BA"/>
    <w:rsid w:val="00B807E2"/>
    <w:rsid w:val="00B808D8"/>
    <w:rsid w:val="00B81C0F"/>
    <w:rsid w:val="00B9437D"/>
    <w:rsid w:val="00BA1EAF"/>
    <w:rsid w:val="00BB657C"/>
    <w:rsid w:val="00BC38AC"/>
    <w:rsid w:val="00BC5559"/>
    <w:rsid w:val="00BD5807"/>
    <w:rsid w:val="00BE0B8E"/>
    <w:rsid w:val="00BF480C"/>
    <w:rsid w:val="00C00C82"/>
    <w:rsid w:val="00C15AC0"/>
    <w:rsid w:val="00C241DF"/>
    <w:rsid w:val="00C255C3"/>
    <w:rsid w:val="00C378C5"/>
    <w:rsid w:val="00C37B79"/>
    <w:rsid w:val="00C430EB"/>
    <w:rsid w:val="00C4536A"/>
    <w:rsid w:val="00C46102"/>
    <w:rsid w:val="00C56693"/>
    <w:rsid w:val="00C651FA"/>
    <w:rsid w:val="00C664B4"/>
    <w:rsid w:val="00C665D1"/>
    <w:rsid w:val="00C72BE9"/>
    <w:rsid w:val="00C73910"/>
    <w:rsid w:val="00C81001"/>
    <w:rsid w:val="00C8268A"/>
    <w:rsid w:val="00C94C87"/>
    <w:rsid w:val="00C9697E"/>
    <w:rsid w:val="00CA04E0"/>
    <w:rsid w:val="00CA57B5"/>
    <w:rsid w:val="00CB027C"/>
    <w:rsid w:val="00CB623C"/>
    <w:rsid w:val="00CC0F89"/>
    <w:rsid w:val="00CD404C"/>
    <w:rsid w:val="00CD4A3A"/>
    <w:rsid w:val="00CD56E8"/>
    <w:rsid w:val="00CE10AE"/>
    <w:rsid w:val="00CE3EF6"/>
    <w:rsid w:val="00CE7246"/>
    <w:rsid w:val="00CF1DB5"/>
    <w:rsid w:val="00D07485"/>
    <w:rsid w:val="00D21313"/>
    <w:rsid w:val="00D3250E"/>
    <w:rsid w:val="00D32586"/>
    <w:rsid w:val="00D542A6"/>
    <w:rsid w:val="00D55895"/>
    <w:rsid w:val="00D65952"/>
    <w:rsid w:val="00D70A55"/>
    <w:rsid w:val="00D766F5"/>
    <w:rsid w:val="00D90DF0"/>
    <w:rsid w:val="00D91259"/>
    <w:rsid w:val="00D977BF"/>
    <w:rsid w:val="00DA42FB"/>
    <w:rsid w:val="00DB36B5"/>
    <w:rsid w:val="00DB4622"/>
    <w:rsid w:val="00DD522A"/>
    <w:rsid w:val="00E10E12"/>
    <w:rsid w:val="00E54315"/>
    <w:rsid w:val="00E65B77"/>
    <w:rsid w:val="00E77A61"/>
    <w:rsid w:val="00E80CB0"/>
    <w:rsid w:val="00E82C7B"/>
    <w:rsid w:val="00E8592E"/>
    <w:rsid w:val="00E904FD"/>
    <w:rsid w:val="00E97375"/>
    <w:rsid w:val="00EA3A19"/>
    <w:rsid w:val="00EA3F3E"/>
    <w:rsid w:val="00EA479D"/>
    <w:rsid w:val="00EA7314"/>
    <w:rsid w:val="00EA7D93"/>
    <w:rsid w:val="00EC0AC2"/>
    <w:rsid w:val="00ED072F"/>
    <w:rsid w:val="00EE4F06"/>
    <w:rsid w:val="00EF37F6"/>
    <w:rsid w:val="00F018D3"/>
    <w:rsid w:val="00F13F7A"/>
    <w:rsid w:val="00F17782"/>
    <w:rsid w:val="00F22784"/>
    <w:rsid w:val="00F331C0"/>
    <w:rsid w:val="00F343BE"/>
    <w:rsid w:val="00F426E2"/>
    <w:rsid w:val="00F548CC"/>
    <w:rsid w:val="00F548ED"/>
    <w:rsid w:val="00F55FA8"/>
    <w:rsid w:val="00F61318"/>
    <w:rsid w:val="00F71240"/>
    <w:rsid w:val="00F81917"/>
    <w:rsid w:val="00F927F3"/>
    <w:rsid w:val="00F92BAA"/>
    <w:rsid w:val="00F95660"/>
    <w:rsid w:val="00FA41FC"/>
    <w:rsid w:val="00FA5784"/>
    <w:rsid w:val="00FB7054"/>
    <w:rsid w:val="00FB75E6"/>
    <w:rsid w:val="00FC575C"/>
    <w:rsid w:val="00FF0DF4"/>
    <w:rsid w:val="01262F31"/>
    <w:rsid w:val="01635F21"/>
    <w:rsid w:val="019D2DEB"/>
    <w:rsid w:val="01A54195"/>
    <w:rsid w:val="020C44EA"/>
    <w:rsid w:val="02387763"/>
    <w:rsid w:val="023F2FB5"/>
    <w:rsid w:val="024D4E72"/>
    <w:rsid w:val="031E3347"/>
    <w:rsid w:val="03D719B1"/>
    <w:rsid w:val="040C60FF"/>
    <w:rsid w:val="047965E8"/>
    <w:rsid w:val="04984BAA"/>
    <w:rsid w:val="05372FCF"/>
    <w:rsid w:val="056C6120"/>
    <w:rsid w:val="05905154"/>
    <w:rsid w:val="05DC6DFB"/>
    <w:rsid w:val="0692783E"/>
    <w:rsid w:val="06F42867"/>
    <w:rsid w:val="072D40AC"/>
    <w:rsid w:val="079F6AFF"/>
    <w:rsid w:val="07AA0169"/>
    <w:rsid w:val="07DD255B"/>
    <w:rsid w:val="08531CD2"/>
    <w:rsid w:val="085B4A73"/>
    <w:rsid w:val="08D10CF0"/>
    <w:rsid w:val="09BC7959"/>
    <w:rsid w:val="09E10873"/>
    <w:rsid w:val="09E6223F"/>
    <w:rsid w:val="0A757B22"/>
    <w:rsid w:val="0A9820FA"/>
    <w:rsid w:val="0ABA5491"/>
    <w:rsid w:val="0BAA4B18"/>
    <w:rsid w:val="0BEC5418"/>
    <w:rsid w:val="0C267D06"/>
    <w:rsid w:val="0D130EC8"/>
    <w:rsid w:val="0D2F1319"/>
    <w:rsid w:val="0D440955"/>
    <w:rsid w:val="0D4A1B68"/>
    <w:rsid w:val="0D6C3CD5"/>
    <w:rsid w:val="0E6E0BC1"/>
    <w:rsid w:val="0F026020"/>
    <w:rsid w:val="0F690CD6"/>
    <w:rsid w:val="0F697E53"/>
    <w:rsid w:val="111022AD"/>
    <w:rsid w:val="1114210B"/>
    <w:rsid w:val="11720F4E"/>
    <w:rsid w:val="117E4CC4"/>
    <w:rsid w:val="11A1466E"/>
    <w:rsid w:val="11A5571C"/>
    <w:rsid w:val="11B53A8A"/>
    <w:rsid w:val="11BE10E9"/>
    <w:rsid w:val="122D4F38"/>
    <w:rsid w:val="12404C14"/>
    <w:rsid w:val="124500D1"/>
    <w:rsid w:val="12500687"/>
    <w:rsid w:val="12827B51"/>
    <w:rsid w:val="128F7790"/>
    <w:rsid w:val="12FA2185"/>
    <w:rsid w:val="13354739"/>
    <w:rsid w:val="135C2A5D"/>
    <w:rsid w:val="13D86495"/>
    <w:rsid w:val="14ED192C"/>
    <w:rsid w:val="156026EF"/>
    <w:rsid w:val="15901EAD"/>
    <w:rsid w:val="15AE018B"/>
    <w:rsid w:val="15B11CEA"/>
    <w:rsid w:val="15C01C0A"/>
    <w:rsid w:val="16007DF8"/>
    <w:rsid w:val="16293C6C"/>
    <w:rsid w:val="16366C91"/>
    <w:rsid w:val="16451B76"/>
    <w:rsid w:val="16704C83"/>
    <w:rsid w:val="16A23DAC"/>
    <w:rsid w:val="16BD1DCE"/>
    <w:rsid w:val="174B1546"/>
    <w:rsid w:val="18010A13"/>
    <w:rsid w:val="18F018EA"/>
    <w:rsid w:val="18FE2694"/>
    <w:rsid w:val="191E5D08"/>
    <w:rsid w:val="19331788"/>
    <w:rsid w:val="19D54961"/>
    <w:rsid w:val="1A0E3F3E"/>
    <w:rsid w:val="1A6735E6"/>
    <w:rsid w:val="1AEF6B52"/>
    <w:rsid w:val="1B4C4D98"/>
    <w:rsid w:val="1B5343AF"/>
    <w:rsid w:val="1BD4000B"/>
    <w:rsid w:val="1BE427A8"/>
    <w:rsid w:val="1C5A06C4"/>
    <w:rsid w:val="1C6954DE"/>
    <w:rsid w:val="1C94637D"/>
    <w:rsid w:val="1CD47F4D"/>
    <w:rsid w:val="1CEA0FFC"/>
    <w:rsid w:val="1DBE20A7"/>
    <w:rsid w:val="1E506877"/>
    <w:rsid w:val="1EE7116C"/>
    <w:rsid w:val="1F2C1DB8"/>
    <w:rsid w:val="1F2E39D2"/>
    <w:rsid w:val="1F572784"/>
    <w:rsid w:val="1FA11DC5"/>
    <w:rsid w:val="204542F6"/>
    <w:rsid w:val="207071FA"/>
    <w:rsid w:val="207C07B3"/>
    <w:rsid w:val="209A01A7"/>
    <w:rsid w:val="20DA4B44"/>
    <w:rsid w:val="20E14361"/>
    <w:rsid w:val="210F0367"/>
    <w:rsid w:val="213C0D0E"/>
    <w:rsid w:val="21566277"/>
    <w:rsid w:val="21A569E6"/>
    <w:rsid w:val="222C1C8A"/>
    <w:rsid w:val="22975943"/>
    <w:rsid w:val="22F60D9F"/>
    <w:rsid w:val="23756582"/>
    <w:rsid w:val="23A612A6"/>
    <w:rsid w:val="23E05163"/>
    <w:rsid w:val="24321FA6"/>
    <w:rsid w:val="24704E12"/>
    <w:rsid w:val="24B25848"/>
    <w:rsid w:val="24D42C1C"/>
    <w:rsid w:val="24FA4C16"/>
    <w:rsid w:val="25311B5D"/>
    <w:rsid w:val="255D4623"/>
    <w:rsid w:val="259A6727"/>
    <w:rsid w:val="260B68BF"/>
    <w:rsid w:val="26101995"/>
    <w:rsid w:val="26156FCB"/>
    <w:rsid w:val="263A0139"/>
    <w:rsid w:val="26953719"/>
    <w:rsid w:val="26DB6739"/>
    <w:rsid w:val="270D2153"/>
    <w:rsid w:val="2710463C"/>
    <w:rsid w:val="2762609E"/>
    <w:rsid w:val="277D62F5"/>
    <w:rsid w:val="27BF3DAE"/>
    <w:rsid w:val="27E319E9"/>
    <w:rsid w:val="27EB2B5D"/>
    <w:rsid w:val="281C6EFA"/>
    <w:rsid w:val="2833560B"/>
    <w:rsid w:val="28436506"/>
    <w:rsid w:val="28506330"/>
    <w:rsid w:val="29040506"/>
    <w:rsid w:val="2993271D"/>
    <w:rsid w:val="29C67A43"/>
    <w:rsid w:val="29E83ADF"/>
    <w:rsid w:val="2AFD4BFA"/>
    <w:rsid w:val="2BCD3E01"/>
    <w:rsid w:val="2C051698"/>
    <w:rsid w:val="2C540B2E"/>
    <w:rsid w:val="2D1C0032"/>
    <w:rsid w:val="2D5E1FE9"/>
    <w:rsid w:val="2D807B7D"/>
    <w:rsid w:val="2D816F7A"/>
    <w:rsid w:val="2D835E30"/>
    <w:rsid w:val="2E4A4340"/>
    <w:rsid w:val="2ED5355C"/>
    <w:rsid w:val="2FBA1E6D"/>
    <w:rsid w:val="2FBB1669"/>
    <w:rsid w:val="30007CA2"/>
    <w:rsid w:val="300772B7"/>
    <w:rsid w:val="30585F9D"/>
    <w:rsid w:val="308D22B3"/>
    <w:rsid w:val="31A83E2D"/>
    <w:rsid w:val="31B4434B"/>
    <w:rsid w:val="31F2457D"/>
    <w:rsid w:val="32175B9F"/>
    <w:rsid w:val="32C10E15"/>
    <w:rsid w:val="33814943"/>
    <w:rsid w:val="33E971E9"/>
    <w:rsid w:val="33F140E5"/>
    <w:rsid w:val="33FF3AF1"/>
    <w:rsid w:val="342F18D5"/>
    <w:rsid w:val="34901935"/>
    <w:rsid w:val="349074C0"/>
    <w:rsid w:val="34956E00"/>
    <w:rsid w:val="34CD0AD8"/>
    <w:rsid w:val="35840B72"/>
    <w:rsid w:val="35BC4D77"/>
    <w:rsid w:val="35F53B4E"/>
    <w:rsid w:val="362E2308"/>
    <w:rsid w:val="370F29D7"/>
    <w:rsid w:val="37807B7A"/>
    <w:rsid w:val="37B02CC2"/>
    <w:rsid w:val="3843063C"/>
    <w:rsid w:val="38D14FBE"/>
    <w:rsid w:val="38D75416"/>
    <w:rsid w:val="391D4E05"/>
    <w:rsid w:val="398370DE"/>
    <w:rsid w:val="39957C70"/>
    <w:rsid w:val="39AA4356"/>
    <w:rsid w:val="39B80BD5"/>
    <w:rsid w:val="39FF028F"/>
    <w:rsid w:val="3A0055C2"/>
    <w:rsid w:val="3A145018"/>
    <w:rsid w:val="3AA65590"/>
    <w:rsid w:val="3AFF1D53"/>
    <w:rsid w:val="3B7279AF"/>
    <w:rsid w:val="3BA57BBB"/>
    <w:rsid w:val="3BFE5246"/>
    <w:rsid w:val="3C296F90"/>
    <w:rsid w:val="3C8C5B02"/>
    <w:rsid w:val="3C9B45B4"/>
    <w:rsid w:val="3CB34FF1"/>
    <w:rsid w:val="3CE06B8F"/>
    <w:rsid w:val="3D344411"/>
    <w:rsid w:val="3D904F74"/>
    <w:rsid w:val="3E98485A"/>
    <w:rsid w:val="3ED8221D"/>
    <w:rsid w:val="3EDA1F28"/>
    <w:rsid w:val="3EF5759A"/>
    <w:rsid w:val="3F1924E5"/>
    <w:rsid w:val="3F290672"/>
    <w:rsid w:val="3F890872"/>
    <w:rsid w:val="3FA645B8"/>
    <w:rsid w:val="3FF4603F"/>
    <w:rsid w:val="40241398"/>
    <w:rsid w:val="40523F4E"/>
    <w:rsid w:val="40BC54AA"/>
    <w:rsid w:val="40CC7A65"/>
    <w:rsid w:val="40EB380E"/>
    <w:rsid w:val="41266850"/>
    <w:rsid w:val="412C6003"/>
    <w:rsid w:val="41912C40"/>
    <w:rsid w:val="41ED5439"/>
    <w:rsid w:val="422D7410"/>
    <w:rsid w:val="42A62B4F"/>
    <w:rsid w:val="438A092B"/>
    <w:rsid w:val="438C38FA"/>
    <w:rsid w:val="441764A5"/>
    <w:rsid w:val="441F518C"/>
    <w:rsid w:val="456C74A0"/>
    <w:rsid w:val="467910D4"/>
    <w:rsid w:val="46F965F2"/>
    <w:rsid w:val="47073935"/>
    <w:rsid w:val="4781397A"/>
    <w:rsid w:val="47B11A04"/>
    <w:rsid w:val="47B97420"/>
    <w:rsid w:val="48035022"/>
    <w:rsid w:val="48984F42"/>
    <w:rsid w:val="48F91E27"/>
    <w:rsid w:val="48FC7160"/>
    <w:rsid w:val="491412B7"/>
    <w:rsid w:val="491D7517"/>
    <w:rsid w:val="49697135"/>
    <w:rsid w:val="4A327B44"/>
    <w:rsid w:val="4AC46B16"/>
    <w:rsid w:val="4B4848FE"/>
    <w:rsid w:val="4C1C262B"/>
    <w:rsid w:val="4D6D412A"/>
    <w:rsid w:val="4D840505"/>
    <w:rsid w:val="4E66213E"/>
    <w:rsid w:val="4E6907BB"/>
    <w:rsid w:val="4F1C73B0"/>
    <w:rsid w:val="501E510E"/>
    <w:rsid w:val="502D1C00"/>
    <w:rsid w:val="511921C7"/>
    <w:rsid w:val="51822FC5"/>
    <w:rsid w:val="51B845E4"/>
    <w:rsid w:val="51D9760F"/>
    <w:rsid w:val="522565B0"/>
    <w:rsid w:val="528536F1"/>
    <w:rsid w:val="529D0BFB"/>
    <w:rsid w:val="531A1247"/>
    <w:rsid w:val="536B0204"/>
    <w:rsid w:val="548500C8"/>
    <w:rsid w:val="54A74248"/>
    <w:rsid w:val="54C509E5"/>
    <w:rsid w:val="54F42D1D"/>
    <w:rsid w:val="551A2616"/>
    <w:rsid w:val="55570C4E"/>
    <w:rsid w:val="55FC7439"/>
    <w:rsid w:val="5661727E"/>
    <w:rsid w:val="57050466"/>
    <w:rsid w:val="57132F6A"/>
    <w:rsid w:val="574D2133"/>
    <w:rsid w:val="574D49EB"/>
    <w:rsid w:val="57F85EF4"/>
    <w:rsid w:val="5832245C"/>
    <w:rsid w:val="588C2EF2"/>
    <w:rsid w:val="58C707CE"/>
    <w:rsid w:val="58E83FFA"/>
    <w:rsid w:val="592810AD"/>
    <w:rsid w:val="5A4C2E7F"/>
    <w:rsid w:val="5A971792"/>
    <w:rsid w:val="5B3D5327"/>
    <w:rsid w:val="5B4C1A14"/>
    <w:rsid w:val="5B572870"/>
    <w:rsid w:val="5C154BAA"/>
    <w:rsid w:val="5C5065A1"/>
    <w:rsid w:val="5CE7516C"/>
    <w:rsid w:val="5D324815"/>
    <w:rsid w:val="5D8A4718"/>
    <w:rsid w:val="5DF816A3"/>
    <w:rsid w:val="5E6C6649"/>
    <w:rsid w:val="5F032CE3"/>
    <w:rsid w:val="5F8E6113"/>
    <w:rsid w:val="60467CB4"/>
    <w:rsid w:val="60501043"/>
    <w:rsid w:val="605B4F23"/>
    <w:rsid w:val="608737D9"/>
    <w:rsid w:val="617E3F5D"/>
    <w:rsid w:val="62176498"/>
    <w:rsid w:val="6232572D"/>
    <w:rsid w:val="6236509E"/>
    <w:rsid w:val="62530CB4"/>
    <w:rsid w:val="62B215CF"/>
    <w:rsid w:val="62F14B1B"/>
    <w:rsid w:val="63266831"/>
    <w:rsid w:val="635F54DD"/>
    <w:rsid w:val="63B91908"/>
    <w:rsid w:val="64731A2B"/>
    <w:rsid w:val="64C128AB"/>
    <w:rsid w:val="64C14D33"/>
    <w:rsid w:val="64C4784C"/>
    <w:rsid w:val="65541434"/>
    <w:rsid w:val="65904469"/>
    <w:rsid w:val="65AB3BF3"/>
    <w:rsid w:val="662A0C4C"/>
    <w:rsid w:val="663404D8"/>
    <w:rsid w:val="66EF254C"/>
    <w:rsid w:val="6704790C"/>
    <w:rsid w:val="679C7CA2"/>
    <w:rsid w:val="67CD3E1F"/>
    <w:rsid w:val="67F23FFE"/>
    <w:rsid w:val="685D27FF"/>
    <w:rsid w:val="68A06C95"/>
    <w:rsid w:val="696609AD"/>
    <w:rsid w:val="69B36F77"/>
    <w:rsid w:val="6B1F769A"/>
    <w:rsid w:val="6B6859EA"/>
    <w:rsid w:val="6B6E5D5A"/>
    <w:rsid w:val="6BC77F5F"/>
    <w:rsid w:val="6BE511C0"/>
    <w:rsid w:val="6CD65E4D"/>
    <w:rsid w:val="6E39314F"/>
    <w:rsid w:val="6EA7752F"/>
    <w:rsid w:val="6EDC1BDE"/>
    <w:rsid w:val="6EE45FA8"/>
    <w:rsid w:val="6F193C1C"/>
    <w:rsid w:val="6F2C16FD"/>
    <w:rsid w:val="6F553CD4"/>
    <w:rsid w:val="6F6610E5"/>
    <w:rsid w:val="6F8858F0"/>
    <w:rsid w:val="6F914628"/>
    <w:rsid w:val="6FB721A9"/>
    <w:rsid w:val="703168C6"/>
    <w:rsid w:val="703524DE"/>
    <w:rsid w:val="704E68AD"/>
    <w:rsid w:val="705205AD"/>
    <w:rsid w:val="70E84F9A"/>
    <w:rsid w:val="71100914"/>
    <w:rsid w:val="718101DA"/>
    <w:rsid w:val="725038B8"/>
    <w:rsid w:val="727D1488"/>
    <w:rsid w:val="72CD3114"/>
    <w:rsid w:val="739D6FFD"/>
    <w:rsid w:val="73F7343E"/>
    <w:rsid w:val="74B84C56"/>
    <w:rsid w:val="74D87871"/>
    <w:rsid w:val="75EE37DE"/>
    <w:rsid w:val="76115CE9"/>
    <w:rsid w:val="761E362E"/>
    <w:rsid w:val="76B650F0"/>
    <w:rsid w:val="76F47E7C"/>
    <w:rsid w:val="76FA1952"/>
    <w:rsid w:val="770F51E0"/>
    <w:rsid w:val="778C5603"/>
    <w:rsid w:val="77D12922"/>
    <w:rsid w:val="789A6156"/>
    <w:rsid w:val="78B84FA4"/>
    <w:rsid w:val="78D9023C"/>
    <w:rsid w:val="790D6828"/>
    <w:rsid w:val="792D3BBB"/>
    <w:rsid w:val="79431113"/>
    <w:rsid w:val="79951517"/>
    <w:rsid w:val="79E16A28"/>
    <w:rsid w:val="7A7904A9"/>
    <w:rsid w:val="7B0F6657"/>
    <w:rsid w:val="7B1150EB"/>
    <w:rsid w:val="7B5A380F"/>
    <w:rsid w:val="7B720D3F"/>
    <w:rsid w:val="7BA77BA9"/>
    <w:rsid w:val="7BC97FEF"/>
    <w:rsid w:val="7CB329F5"/>
    <w:rsid w:val="7D4771C1"/>
    <w:rsid w:val="7DB853E0"/>
    <w:rsid w:val="7E014854"/>
    <w:rsid w:val="7E0F67FD"/>
    <w:rsid w:val="7E7041F1"/>
    <w:rsid w:val="7EF77098"/>
    <w:rsid w:val="7FC32F08"/>
    <w:rsid w:val="7FC51E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link w:val="22"/>
    <w:qFormat/>
    <w:uiPriority w:val="0"/>
    <w:pPr>
      <w:jc w:val="left"/>
      <w:outlineLvl w:val="0"/>
    </w:pPr>
    <w:rPr>
      <w:rFonts w:ascii="仿宋" w:hAnsi="仿宋" w:eastAsia="仿宋"/>
      <w:b/>
      <w:bCs/>
      <w:sz w:val="32"/>
      <w:szCs w:val="32"/>
    </w:rPr>
  </w:style>
  <w:style w:type="paragraph" w:styleId="4">
    <w:name w:val="heading 2"/>
    <w:basedOn w:val="1"/>
    <w:next w:val="1"/>
    <w:link w:val="23"/>
    <w:unhideWhenUsed/>
    <w:qFormat/>
    <w:uiPriority w:val="0"/>
    <w:pPr>
      <w:ind w:firstLine="643" w:firstLineChars="200"/>
      <w:jc w:val="left"/>
      <w:outlineLvl w:val="1"/>
    </w:pPr>
    <w:rPr>
      <w:rFonts w:ascii="仿宋" w:hAnsi="仿宋" w:eastAsia="仿宋"/>
      <w:b/>
      <w:bCs/>
      <w:sz w:val="32"/>
      <w:szCs w:val="32"/>
    </w:rPr>
  </w:style>
  <w:style w:type="paragraph" w:styleId="5">
    <w:name w:val="heading 3"/>
    <w:basedOn w:val="1"/>
    <w:next w:val="1"/>
    <w:link w:val="24"/>
    <w:unhideWhenUsed/>
    <w:qFormat/>
    <w:uiPriority w:val="0"/>
    <w:pPr>
      <w:ind w:firstLine="640" w:firstLineChars="200"/>
      <w:jc w:val="left"/>
      <w:outlineLvl w:val="2"/>
    </w:pPr>
    <w:rPr>
      <w:rFonts w:ascii="仿宋" w:hAnsi="仿宋" w:eastAsia="仿宋"/>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18">
    <w:name w:val="Default Paragraph Font"/>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toc 2"/>
    <w:basedOn w:val="1"/>
    <w:next w:val="1"/>
    <w:unhideWhenUsed/>
    <w:qFormat/>
    <w:uiPriority w:val="39"/>
    <w:pPr>
      <w:ind w:left="420" w:leftChars="200"/>
    </w:pPr>
  </w:style>
  <w:style w:type="paragraph" w:styleId="7">
    <w:name w:val="toa heading"/>
    <w:basedOn w:val="1"/>
    <w:next w:val="1"/>
    <w:qFormat/>
    <w:uiPriority w:val="0"/>
    <w:rPr>
      <w:rFonts w:ascii="Arial" w:hAnsi="Arial"/>
      <w:kern w:val="0"/>
      <w:sz w:val="24"/>
      <w:szCs w:val="20"/>
    </w:rPr>
  </w:style>
  <w:style w:type="paragraph" w:styleId="8">
    <w:name w:val="annotation text"/>
    <w:basedOn w:val="1"/>
    <w:link w:val="34"/>
    <w:unhideWhenUsed/>
    <w:qFormat/>
    <w:uiPriority w:val="99"/>
    <w:pPr>
      <w:jc w:val="left"/>
    </w:pPr>
  </w:style>
  <w:style w:type="paragraph" w:styleId="9">
    <w:name w:val="toc 3"/>
    <w:basedOn w:val="1"/>
    <w:next w:val="1"/>
    <w:unhideWhenUsed/>
    <w:qFormat/>
    <w:uiPriority w:val="39"/>
    <w:pPr>
      <w:ind w:left="840" w:leftChars="400"/>
    </w:pPr>
  </w:style>
  <w:style w:type="paragraph" w:styleId="10">
    <w:name w:val="Balloon Text"/>
    <w:basedOn w:val="1"/>
    <w:link w:val="30"/>
    <w:semiHidden/>
    <w:unhideWhenUsed/>
    <w:qFormat/>
    <w:uiPriority w:val="99"/>
    <w:rPr>
      <w:sz w:val="18"/>
      <w:szCs w:val="18"/>
    </w:rPr>
  </w:style>
  <w:style w:type="paragraph" w:styleId="11">
    <w:name w:val="footer"/>
    <w:basedOn w:val="1"/>
    <w:link w:val="26"/>
    <w:unhideWhenUsed/>
    <w:qFormat/>
    <w:uiPriority w:val="99"/>
    <w:pPr>
      <w:tabs>
        <w:tab w:val="center" w:pos="4153"/>
        <w:tab w:val="right" w:pos="8306"/>
      </w:tabs>
      <w:snapToGrid w:val="0"/>
      <w:jc w:val="left"/>
    </w:pPr>
    <w:rPr>
      <w:sz w:val="18"/>
      <w:szCs w:val="18"/>
    </w:rPr>
  </w:style>
  <w:style w:type="paragraph" w:styleId="12">
    <w:name w:val="header"/>
    <w:basedOn w:val="1"/>
    <w:link w:val="25"/>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unhideWhenUsed/>
    <w:qFormat/>
    <w:uiPriority w:val="39"/>
  </w:style>
  <w:style w:type="paragraph" w:styleId="14">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15">
    <w:name w:val="annotation subject"/>
    <w:basedOn w:val="8"/>
    <w:next w:val="8"/>
    <w:link w:val="3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Emphasis"/>
    <w:basedOn w:val="18"/>
    <w:qFormat/>
    <w:uiPriority w:val="20"/>
    <w:rPr>
      <w:i/>
    </w:rPr>
  </w:style>
  <w:style w:type="character" w:styleId="20">
    <w:name w:val="Hyperlink"/>
    <w:basedOn w:val="18"/>
    <w:unhideWhenUsed/>
    <w:qFormat/>
    <w:uiPriority w:val="99"/>
    <w:rPr>
      <w:color w:val="0000FF" w:themeColor="hyperlink"/>
      <w:u w:val="single"/>
      <w14:textFill>
        <w14:solidFill>
          <w14:schemeClr w14:val="hlink"/>
        </w14:solidFill>
      </w14:textFill>
    </w:rPr>
  </w:style>
  <w:style w:type="character" w:styleId="21">
    <w:name w:val="annotation reference"/>
    <w:basedOn w:val="18"/>
    <w:semiHidden/>
    <w:unhideWhenUsed/>
    <w:qFormat/>
    <w:uiPriority w:val="99"/>
    <w:rPr>
      <w:sz w:val="21"/>
      <w:szCs w:val="21"/>
    </w:rPr>
  </w:style>
  <w:style w:type="character" w:customStyle="1" w:styleId="22">
    <w:name w:val="标题 1 Char"/>
    <w:basedOn w:val="18"/>
    <w:link w:val="3"/>
    <w:qFormat/>
    <w:uiPriority w:val="0"/>
    <w:rPr>
      <w:rFonts w:ascii="仿宋" w:hAnsi="仿宋" w:eastAsia="仿宋" w:cs="Times New Roman"/>
      <w:b/>
      <w:bCs/>
      <w:sz w:val="32"/>
      <w:szCs w:val="32"/>
    </w:rPr>
  </w:style>
  <w:style w:type="character" w:customStyle="1" w:styleId="23">
    <w:name w:val="标题 2 Char"/>
    <w:basedOn w:val="18"/>
    <w:link w:val="4"/>
    <w:qFormat/>
    <w:uiPriority w:val="0"/>
    <w:rPr>
      <w:rFonts w:ascii="仿宋" w:hAnsi="仿宋" w:eastAsia="仿宋" w:cs="Times New Roman"/>
      <w:b/>
      <w:bCs/>
      <w:sz w:val="32"/>
      <w:szCs w:val="32"/>
    </w:rPr>
  </w:style>
  <w:style w:type="character" w:customStyle="1" w:styleId="24">
    <w:name w:val="标题 3 Char"/>
    <w:basedOn w:val="18"/>
    <w:link w:val="5"/>
    <w:qFormat/>
    <w:uiPriority w:val="0"/>
    <w:rPr>
      <w:rFonts w:ascii="仿宋" w:hAnsi="仿宋" w:eastAsia="仿宋" w:cs="Times New Roman"/>
      <w:sz w:val="32"/>
      <w:szCs w:val="32"/>
    </w:rPr>
  </w:style>
  <w:style w:type="character" w:customStyle="1" w:styleId="25">
    <w:name w:val="页眉 Char"/>
    <w:basedOn w:val="18"/>
    <w:link w:val="12"/>
    <w:qFormat/>
    <w:uiPriority w:val="99"/>
    <w:rPr>
      <w:rFonts w:ascii="Calibri" w:hAnsi="Calibri" w:eastAsia="宋体" w:cs="Times New Roman"/>
      <w:sz w:val="18"/>
      <w:szCs w:val="18"/>
    </w:rPr>
  </w:style>
  <w:style w:type="character" w:customStyle="1" w:styleId="26">
    <w:name w:val="页脚 Char"/>
    <w:basedOn w:val="18"/>
    <w:link w:val="11"/>
    <w:qFormat/>
    <w:uiPriority w:val="99"/>
    <w:rPr>
      <w:rFonts w:ascii="Calibri" w:hAnsi="Calibri" w:eastAsia="宋体" w:cs="Times New Roman"/>
      <w:sz w:val="18"/>
      <w:szCs w:val="18"/>
    </w:rPr>
  </w:style>
  <w:style w:type="paragraph" w:styleId="27">
    <w:name w:val="List Paragraph"/>
    <w:basedOn w:val="1"/>
    <w:qFormat/>
    <w:uiPriority w:val="34"/>
    <w:pPr>
      <w:ind w:firstLine="420" w:firstLineChars="200"/>
    </w:pPr>
    <w:rPr>
      <w:rFonts w:asciiTheme="minorHAnsi" w:hAnsiTheme="minorHAnsi" w:eastAsiaTheme="minorEastAsia" w:cstheme="minorBidi"/>
      <w:szCs w:val="22"/>
    </w:rPr>
  </w:style>
  <w:style w:type="character" w:customStyle="1" w:styleId="28">
    <w:name w:val="无"/>
    <w:qFormat/>
    <w:uiPriority w:val="0"/>
  </w:style>
  <w:style w:type="paragraph" w:customStyle="1" w:styleId="29">
    <w:name w:val="正文 A"/>
    <w:qFormat/>
    <w:uiPriority w:val="0"/>
    <w:pPr>
      <w:widowControl w:val="0"/>
      <w:jc w:val="both"/>
    </w:pPr>
    <w:rPr>
      <w:rFonts w:ascii="Calibri" w:hAnsi="Calibri" w:eastAsia="Calibri" w:cs="Calibri"/>
      <w:color w:val="000000"/>
      <w:kern w:val="2"/>
      <w:sz w:val="24"/>
      <w:szCs w:val="24"/>
      <w:u w:color="000000"/>
      <w:lang w:val="en-US" w:eastAsia="zh-CN" w:bidi="ar-SA"/>
    </w:rPr>
  </w:style>
  <w:style w:type="character" w:customStyle="1" w:styleId="30">
    <w:name w:val="批注框文本 Char"/>
    <w:basedOn w:val="18"/>
    <w:link w:val="10"/>
    <w:semiHidden/>
    <w:qFormat/>
    <w:uiPriority w:val="99"/>
    <w:rPr>
      <w:rFonts w:ascii="Calibri" w:hAnsi="Calibri" w:eastAsia="宋体" w:cs="Times New Roman"/>
      <w:sz w:val="18"/>
      <w:szCs w:val="18"/>
    </w:rPr>
  </w:style>
  <w:style w:type="paragraph" w:customStyle="1" w:styleId="31">
    <w:name w:val="TOC 标题1"/>
    <w:basedOn w:val="3"/>
    <w:next w:val="1"/>
    <w:unhideWhenUsed/>
    <w:qFormat/>
    <w:uiPriority w:val="39"/>
    <w:pPr>
      <w:keepNext/>
      <w:keepLines/>
      <w:widowControl/>
      <w:spacing w:before="240" w:line="259" w:lineRule="auto"/>
      <w:outlineLvl w:val="9"/>
    </w:pPr>
    <w:rPr>
      <w:rFonts w:asciiTheme="majorHAnsi" w:hAnsiTheme="majorHAnsi" w:eastAsiaTheme="majorEastAsia" w:cstheme="majorBidi"/>
      <w:b w:val="0"/>
      <w:bCs w:val="0"/>
      <w:color w:val="376092" w:themeColor="accent1" w:themeShade="BF"/>
      <w:kern w:val="0"/>
    </w:rPr>
  </w:style>
  <w:style w:type="character" w:customStyle="1" w:styleId="32">
    <w:name w:val="font21"/>
    <w:qFormat/>
    <w:uiPriority w:val="0"/>
    <w:rPr>
      <w:rFonts w:hint="eastAsia" w:ascii="宋体" w:hAnsi="宋体" w:eastAsia="宋体" w:cs="宋体"/>
      <w:b/>
      <w:color w:val="000000"/>
      <w:sz w:val="18"/>
      <w:szCs w:val="18"/>
      <w:u w:val="none"/>
    </w:rPr>
  </w:style>
  <w:style w:type="table" w:customStyle="1" w:styleId="33">
    <w:name w:val="网格型1"/>
    <w:basedOn w:val="16"/>
    <w:qFormat/>
    <w:uiPriority w:val="5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34">
    <w:name w:val="批注文字 Char"/>
    <w:basedOn w:val="18"/>
    <w:link w:val="8"/>
    <w:qFormat/>
    <w:uiPriority w:val="99"/>
    <w:rPr>
      <w:rFonts w:ascii="Calibri" w:hAnsi="Calibri"/>
      <w:kern w:val="2"/>
      <w:sz w:val="21"/>
      <w:szCs w:val="24"/>
    </w:rPr>
  </w:style>
  <w:style w:type="character" w:customStyle="1" w:styleId="35">
    <w:name w:val="批注主题 Char"/>
    <w:basedOn w:val="34"/>
    <w:link w:val="15"/>
    <w:semiHidden/>
    <w:qFormat/>
    <w:uiPriority w:val="99"/>
    <w:rPr>
      <w:rFonts w:ascii="Calibri" w:hAnsi="Calibri"/>
      <w:b/>
      <w:bCs/>
      <w:kern w:val="2"/>
      <w:sz w:val="21"/>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A779886-F3AC-4653-89A1-93E63B177A1A}">
  <ds:schemaRefs/>
</ds:datastoreItem>
</file>

<file path=docProps/app.xml><?xml version="1.0" encoding="utf-8"?>
<Properties xmlns="http://schemas.openxmlformats.org/officeDocument/2006/extended-properties" xmlns:vt="http://schemas.openxmlformats.org/officeDocument/2006/docPropsVTypes">
  <Template>Normal</Template>
  <Pages>20</Pages>
  <Words>1815</Words>
  <Characters>10352</Characters>
  <Lines>86</Lines>
  <Paragraphs>24</Paragraphs>
  <TotalTime>20</TotalTime>
  <ScaleCrop>false</ScaleCrop>
  <LinksUpToDate>false</LinksUpToDate>
  <CharactersWithSpaces>12143</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2021-04-05T02:19:00Z</dcterms:created>
  <dc:creator>Windows 用户</dc:creator>
  <cp:lastModifiedBy>姜宛君</cp:lastModifiedBy>
  <cp:lastPrinted>2021-04-05T03:11:00Z</cp:lastPrinted>
  <dcterms:modified xsi:type="dcterms:W3CDTF">2021-08-18T06:59:58Z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B836ABAA84F9462CAB6625FF4176CD02</vt:lpwstr>
  </property>
</Properties>
</file>